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C8AC6" w14:textId="5AC91B66" w:rsidR="00431CF0" w:rsidRDefault="00431CF0"/>
    <w:p w14:paraId="426481EE" w14:textId="77777777" w:rsidR="00522D99"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DRAFT CLIMATE CHANGE LAW</w:t>
      </w:r>
    </w:p>
    <w:p w14:paraId="24D9638D"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42CCD4C4"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FIRST PART</w:t>
      </w:r>
    </w:p>
    <w:p w14:paraId="470B340D" w14:textId="77777777" w:rsidR="00522D99" w:rsidRPr="00FD3642" w:rsidRDefault="004C577D"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Initial Provisions</w:t>
      </w:r>
    </w:p>
    <w:p w14:paraId="13D8B031"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7AEBF6A1" w14:textId="77777777" w:rsidR="00522D99" w:rsidRPr="00FD3642" w:rsidRDefault="00522D99" w:rsidP="00FD3642">
      <w:pPr>
        <w:pStyle w:val="Heading2"/>
        <w:spacing w:before="0" w:after="120" w:line="276" w:lineRule="auto"/>
        <w:ind w:firstLine="709"/>
        <w:jc w:val="both"/>
        <w:rPr>
          <w:rFonts w:ascii="Times New Roman" w:hAnsi="Times New Roman" w:cs="Times New Roman"/>
          <w:b/>
          <w:color w:val="auto"/>
          <w:sz w:val="24"/>
          <w:szCs w:val="24"/>
        </w:rPr>
      </w:pPr>
      <w:r w:rsidRPr="00FD3642">
        <w:rPr>
          <w:rFonts w:ascii="Times New Roman" w:hAnsi="Times New Roman" w:cs="Times New Roman"/>
          <w:b/>
          <w:color w:val="auto"/>
          <w:sz w:val="24"/>
          <w:szCs w:val="24"/>
        </w:rPr>
        <w:t>Purpose and scope</w:t>
      </w:r>
    </w:p>
    <w:p w14:paraId="49616C7C"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w:t>
      </w:r>
      <w:r w:rsidRPr="00FD3642">
        <w:rPr>
          <w:rFonts w:ascii="Times New Roman" w:hAnsi="Times New Roman" w:cs="Times New Roman"/>
          <w:sz w:val="24"/>
          <w:szCs w:val="24"/>
        </w:rPr>
        <w:t>(1) The purpose of this Law; To regulate the reduction of greenhouse gas emissions, adaptation to climate change and planning and implementation tools for these issues in the fight against climate change in line with the green development vision and net zero emission target.</w:t>
      </w:r>
    </w:p>
    <w:p w14:paraId="398B9D66" w14:textId="77777777" w:rsidR="00522D99" w:rsidRPr="00FD3642" w:rsidRDefault="00522D99"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color w:val="000000"/>
          <w:sz w:val="24"/>
          <w:szCs w:val="24"/>
        </w:rPr>
        <w:t xml:space="preserve"> </w:t>
      </w:r>
      <w:r w:rsidR="00F14589" w:rsidRPr="00FD3642">
        <w:rPr>
          <w:rFonts w:ascii="Times New Roman" w:hAnsi="Times New Roman" w:cs="Times New Roman"/>
          <w:color w:val="000000"/>
          <w:sz w:val="24"/>
          <w:szCs w:val="24"/>
        </w:rPr>
        <w:t>(2) This Law; It covers the procedures and principles of the legal and institutional framework of the activities for reducing greenhouse gas emissions and adaptation to climate change, and the planning and implementation tools for the realization of these activities.</w:t>
      </w:r>
    </w:p>
    <w:p w14:paraId="3C222F6A" w14:textId="77777777" w:rsidR="00522D99" w:rsidRPr="00FD3642" w:rsidRDefault="00522D99" w:rsidP="00FD3642">
      <w:pPr>
        <w:spacing w:after="120" w:line="276" w:lineRule="auto"/>
        <w:ind w:firstLine="709"/>
        <w:jc w:val="both"/>
        <w:rPr>
          <w:rFonts w:ascii="Times New Roman" w:hAnsi="Times New Roman" w:cs="Times New Roman"/>
          <w:b/>
          <w:color w:val="000000"/>
          <w:sz w:val="24"/>
          <w:szCs w:val="24"/>
        </w:rPr>
      </w:pPr>
      <w:r w:rsidRPr="00FD3642">
        <w:rPr>
          <w:rFonts w:ascii="Times New Roman" w:hAnsi="Times New Roman" w:cs="Times New Roman"/>
          <w:b/>
          <w:color w:val="000000"/>
          <w:sz w:val="24"/>
          <w:szCs w:val="24"/>
        </w:rPr>
        <w:t>Definitions</w:t>
      </w:r>
    </w:p>
    <w:p w14:paraId="0681DBCA" w14:textId="77777777" w:rsidR="007F581E" w:rsidRPr="00FD3642" w:rsidRDefault="00AD669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color w:val="000000"/>
          <w:sz w:val="24"/>
          <w:szCs w:val="24"/>
        </w:rPr>
        <w:t>ARTICLE 2-</w:t>
      </w:r>
      <w:r w:rsidR="00522D99" w:rsidRPr="00FD3642">
        <w:rPr>
          <w:rFonts w:ascii="Times New Roman" w:hAnsi="Times New Roman" w:cs="Times New Roman"/>
          <w:color w:val="000000"/>
          <w:sz w:val="24"/>
          <w:szCs w:val="24"/>
        </w:rPr>
        <w:t>(1) In the implementation of this Law;</w:t>
      </w:r>
    </w:p>
    <w:p w14:paraId="3ED98589" w14:textId="77777777" w:rsidR="00853A2A"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a) Fair transition: I</w:t>
      </w:r>
      <w:r w:rsidR="00853A2A" w:rsidRPr="00FD3642">
        <w:rPr>
          <w:rFonts w:ascii="Times New Roman" w:hAnsi="Times New Roman" w:cs="Times New Roman"/>
          <w:sz w:val="24"/>
          <w:szCs w:val="24"/>
        </w:rPr>
        <w:t>In order to prevent unemployment and economic fluctuations while realizing the targets set in the fight against climate change,</w:t>
      </w:r>
      <w:r w:rsidR="00853A2A" w:rsidRPr="00FD3642">
        <w:rPr>
          <w:rFonts w:ascii="Times New Roman" w:hAnsi="Times New Roman" w:cs="Times New Roman"/>
          <w:color w:val="000000"/>
          <w:sz w:val="24"/>
          <w:szCs w:val="24"/>
        </w:rPr>
        <w:t>vulnerable groups, especially</w:t>
      </w:r>
      <w:r w:rsidR="00853A2A" w:rsidRPr="00FD3642">
        <w:rPr>
          <w:rFonts w:ascii="Times New Roman" w:hAnsi="Times New Roman" w:cs="Times New Roman"/>
          <w:sz w:val="24"/>
          <w:szCs w:val="24"/>
        </w:rPr>
        <w:t>the policy where no one is left behind and green job opportunities are provided,</w:t>
      </w:r>
      <w:r w:rsidR="00522D99" w:rsidRPr="00FD3642">
        <w:rPr>
          <w:rFonts w:ascii="Times New Roman" w:hAnsi="Times New Roman" w:cs="Times New Roman"/>
          <w:color w:val="000000"/>
          <w:sz w:val="24"/>
          <w:szCs w:val="24"/>
        </w:rPr>
        <w:t xml:space="preserve"> </w:t>
      </w:r>
    </w:p>
    <w:p w14:paraId="39E4B89A" w14:textId="77777777" w:rsidR="00522D99" w:rsidRPr="00FD3642" w:rsidRDefault="00853A2A"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b) Reduction: Activities to reduce greenhouse gas emissions and protect, increase and improve sink areas,</w:t>
      </w:r>
    </w:p>
    <w:p w14:paraId="168AD200"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c) Minister: Minister of Environment, Urbanization and Climate Change,</w:t>
      </w:r>
    </w:p>
    <w:p w14:paraId="66A70C9C"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ç) Ministry: The Ministry of Environment, Urbanization and Climate Change,</w:t>
      </w:r>
    </w:p>
    <w:p w14:paraId="319BA8DF"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d) Chairman: President of Climate Change,</w:t>
      </w:r>
    </w:p>
    <w:p w14:paraId="3BAA3194"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e) Presidency: Presidency on Climate Change,</w:t>
      </w:r>
    </w:p>
    <w:p w14:paraId="0B3CC7F2" w14:textId="77777777" w:rsidR="00522D99" w:rsidRPr="00FD3642" w:rsidRDefault="007F581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 Offset: The use of emission reduction certificates against the reduction obligation in the Emissions Trading System or other transactions,</w:t>
      </w:r>
    </w:p>
    <w:p w14:paraId="35CF45D6"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g) Emissions Trading System (ETS): A national and international market-based mechanism that works on the principle of setting an upper limit on greenhouse gas emissions and that limits or encourages to limit greenhouse gas emissions in a cost-effective manner by trading allowances,</w:t>
      </w:r>
    </w:p>
    <w:p w14:paraId="6BB7020C"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ğ) Carbon pricing instruments: Financial instruments such as the Emissions Trading System, carbon tax and result-oriented financing that can be applied to reduce greenhouse gas emissions,</w:t>
      </w:r>
    </w:p>
    <w:p w14:paraId="66D6885C"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h) Carbon market: A market operated and/or managed by the market operator in order to conclude the trading orders, in order to ensure that the allowances, contracts for emission trading, documents and securities can be bought and sold easily and safely under free competition conditions and to determine and announce the prices formed. Systems and marketplaces that bring these orders together or facilitate the gathering of these orders, that are authorized in accordance with this Law and that operate regularly,</w:t>
      </w:r>
    </w:p>
    <w:p w14:paraId="4F3A10F4" w14:textId="77777777" w:rsidR="00BC064C" w:rsidRPr="00FD3642" w:rsidRDefault="007F581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ı) Planning tools: Plans, programs, strategies, action plans and other policy documents prepared by public institutions and organizations that directly or indirectly contribute to the fight against climate change,</w:t>
      </w:r>
    </w:p>
    <w:p w14:paraId="01A95130" w14:textId="77777777" w:rsidR="00522D99" w:rsidRPr="00FD3642" w:rsidRDefault="007F581E"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i) Greenhouse gas emission: Carbon dioxide, methane, nitrous oxide and hydrofluorocarbons, perfluorocarbons, sulfur hexafluoride or their mixtures containing at least one of these substances or other greenhouse gases containing fluorine, which absorb and re-emit infrared radiation, which can be of both natural and human origin, shall be determined by the Ministry. emissions of other greenhouse gases and gas-like atmosphere components to be determined,</w:t>
      </w:r>
    </w:p>
    <w:p w14:paraId="579C4B2B" w14:textId="77777777" w:rsidR="00CC2BA5" w:rsidRPr="00FD3642" w:rsidRDefault="00967086"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j) Taxonomy: Classification systems that contribute to the mobilization of climate change financing and guide economic and financial activities by determining principles and criteria regarding investment areas and/or activities within the scope of combating climate change,</w:t>
      </w:r>
    </w:p>
    <w:p w14:paraId="21FC9B53" w14:textId="77777777" w:rsidR="00175AAC" w:rsidRPr="00FD3642" w:rsidRDefault="00175AAC"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sz w:val="24"/>
          <w:szCs w:val="24"/>
        </w:rPr>
        <w:t>k) Statement of National Contribution: In order to combat climate change</w:t>
      </w:r>
      <w:r w:rsidRPr="00FD3642">
        <w:rPr>
          <w:rFonts w:ascii="Times New Roman" w:eastAsia="Times New Roman" w:hAnsi="Times New Roman" w:cs="Times New Roman"/>
          <w:sz w:val="24"/>
          <w:szCs w:val="24"/>
          <w:lang w:eastAsia="tr-TR"/>
        </w:rPr>
        <w:t>In cooperation with the relevant institutions and organizations under the coordination of the Presidency</w:t>
      </w:r>
      <w:r w:rsidRPr="00FD3642" w:rsidDel="0011662B">
        <w:rPr>
          <w:rFonts w:ascii="Times New Roman" w:hAnsi="Times New Roman" w:cs="Times New Roman"/>
          <w:sz w:val="24"/>
          <w:szCs w:val="24"/>
        </w:rPr>
        <w:t>A commitment document prepared periodically, at least once every 5 years, including reduction and optionally compliance targets,</w:t>
      </w:r>
    </w:p>
    <w:p w14:paraId="72DF70E7" w14:textId="77777777" w:rsidR="00CF0DEB" w:rsidRPr="00FD3642" w:rsidRDefault="00175AA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 Implementation tools: In the fight against climate change; climate finance, technology development and transfer and capacity building activities,</w:t>
      </w:r>
    </w:p>
    <w:p w14:paraId="00FB3F24" w14:textId="77777777" w:rsidR="007D1233" w:rsidRPr="00FD3642" w:rsidRDefault="00175AA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color w:val="000000"/>
          <w:sz w:val="24"/>
          <w:szCs w:val="24"/>
        </w:rPr>
        <w:t>m) Adaptation: The process of preventing the negative effects of current or expected climate change, minimizing possible damages or taking advantage of opportunities that may arise.</w:t>
      </w:r>
      <w:r w:rsidR="007D1233" w:rsidRPr="00FD3642">
        <w:rPr>
          <w:rFonts w:ascii="Times New Roman" w:hAnsi="Times New Roman" w:cs="Times New Roman"/>
          <w:sz w:val="24"/>
          <w:szCs w:val="24"/>
        </w:rPr>
        <w:t>,</w:t>
      </w:r>
    </w:p>
    <w:p w14:paraId="41B1E6E0" w14:textId="77777777" w:rsidR="00522D99" w:rsidRPr="00FD3642" w:rsidRDefault="00522D99"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color w:val="000000"/>
          <w:sz w:val="24"/>
          <w:szCs w:val="24"/>
        </w:rPr>
        <w:t>means.</w:t>
      </w:r>
    </w:p>
    <w:p w14:paraId="60F2EBF4" w14:textId="77777777" w:rsidR="00522D99" w:rsidRPr="00FD3642" w:rsidRDefault="00BA69C7"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general principles</w:t>
      </w:r>
    </w:p>
    <w:p w14:paraId="6252C701" w14:textId="77777777" w:rsidR="00F83DF5" w:rsidRPr="00FD3642" w:rsidRDefault="00B251DA"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hAnsi="Times New Roman" w:cs="Times New Roman"/>
          <w:b/>
          <w:sz w:val="24"/>
          <w:szCs w:val="24"/>
        </w:rPr>
        <w:t>ARTICLE 3-</w:t>
      </w:r>
      <w:r w:rsidR="00ED1B0E" w:rsidRPr="00FD3642">
        <w:rPr>
          <w:rFonts w:ascii="Times New Roman" w:hAnsi="Times New Roman" w:cs="Times New Roman"/>
          <w:sz w:val="24"/>
          <w:szCs w:val="24"/>
        </w:rPr>
        <w:t>(one)</w:t>
      </w:r>
      <w:r w:rsidR="00F83DF5" w:rsidRPr="00FD3642">
        <w:rPr>
          <w:rFonts w:ascii="Times New Roman" w:eastAsia="Times New Roman" w:hAnsi="Times New Roman" w:cs="Times New Roman"/>
          <w:sz w:val="24"/>
          <w:szCs w:val="24"/>
        </w:rPr>
        <w:t>In the fight against climate change; equality, environmental justice and climate justice, prudence, participation, integration, sustainability, transparency, fair transition and progress are the principles.</w:t>
      </w:r>
    </w:p>
    <w:p w14:paraId="1CA969A0" w14:textId="77777777" w:rsidR="00C360B9" w:rsidRPr="00FD3642" w:rsidRDefault="00ED1B0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Climate change policies; It is formed on the basis of legislation, policy and planning tools that have direct or indirect effects, scientific data and studies, as well as international conventions to which we are a party.</w:t>
      </w:r>
    </w:p>
    <w:p w14:paraId="2A45E70F" w14:textId="77777777" w:rsidR="00C360B9" w:rsidRPr="00FD3642" w:rsidRDefault="00C360B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Effective use and dissemination of the implementation tools developed to strengthen the fight against climate change is essential.</w:t>
      </w:r>
    </w:p>
    <w:p w14:paraId="56BDEC4F"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Public institutions and organizations, universities, non-governmental organizations, private sector and citizens cooperate in the realization of the reduction and adaptation targets set for combating climate change.</w:t>
      </w:r>
    </w:p>
    <w:p w14:paraId="4F1F85F0" w14:textId="77777777" w:rsidR="00E03A8A" w:rsidRPr="00FD3642" w:rsidRDefault="00E03A8A"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Institutions and organizations and real and legal persons; To comply with the planning tools and all the measures and regulations to be taken in line with the realization of the purpose of this Law in order to achieve the mitigation and adaptation targets in the fight against climate change, and also to implement them within this scope.</w:t>
      </w:r>
      <w:r w:rsidRPr="00FD3642">
        <w:rPr>
          <w:rFonts w:ascii="Times New Roman" w:eastAsia="Times New Roman" w:hAnsi="Times New Roman" w:cs="Times New Roman"/>
          <w:sz w:val="24"/>
          <w:szCs w:val="24"/>
          <w:lang w:eastAsia="tr-TR"/>
        </w:rPr>
        <w:t>to make, have, and implement plans and projects and to support the projects of real and legal persons who will invest when deemed appropriate.</w:t>
      </w:r>
      <w:r w:rsidRPr="00FD3642">
        <w:rPr>
          <w:rFonts w:ascii="Times New Roman" w:hAnsi="Times New Roman" w:cs="Times New Roman"/>
          <w:sz w:val="24"/>
          <w:szCs w:val="24"/>
        </w:rPr>
        <w:t>they are responsible.</w:t>
      </w:r>
    </w:p>
    <w:p w14:paraId="07622FF8" w14:textId="77777777" w:rsidR="007D5A2C" w:rsidRPr="00FD3642" w:rsidRDefault="00E03A8A" w:rsidP="00FD3642">
      <w:pPr>
        <w:tabs>
          <w:tab w:val="left" w:pos="1049"/>
        </w:tabs>
        <w:spacing w:after="120" w:line="276" w:lineRule="auto"/>
        <w:ind w:firstLine="709"/>
        <w:jc w:val="both"/>
        <w:rPr>
          <w:rFonts w:ascii="Times New Roman" w:hAnsi="Times New Roman" w:cs="Times New Roman"/>
          <w:sz w:val="24"/>
          <w:szCs w:val="24"/>
        </w:rPr>
      </w:pPr>
      <w:r w:rsidRPr="00FD3642" w:rsidDel="00E03A8A">
        <w:rPr>
          <w:rFonts w:ascii="Times New Roman" w:hAnsi="Times New Roman" w:cs="Times New Roman"/>
          <w:sz w:val="24"/>
          <w:szCs w:val="24"/>
        </w:rPr>
        <w:t xml:space="preserve">(6) Presidency; It is authorized to take all the measures it deems necessary within the scope of the duties assigned to it by the Presidential Decree No. 4 and in line with the objectives specified </w:t>
      </w:r>
      <w:r w:rsidRPr="00FD3642" w:rsidDel="00E03A8A">
        <w:rPr>
          <w:rFonts w:ascii="Times New Roman" w:hAnsi="Times New Roman" w:cs="Times New Roman"/>
          <w:sz w:val="24"/>
          <w:szCs w:val="24"/>
        </w:rPr>
        <w:lastRenderedPageBreak/>
        <w:t>in this Law, to ensure coordination, to make or have the planning or implementation tools made in cooperation with the relevant institutions.</w:t>
      </w:r>
    </w:p>
    <w:p w14:paraId="5CD6E029" w14:textId="77777777" w:rsidR="00175AAC" w:rsidRPr="00FD3642" w:rsidRDefault="007D5A2C" w:rsidP="00FD3642">
      <w:pPr>
        <w:tabs>
          <w:tab w:val="left" w:pos="993"/>
        </w:tabs>
        <w:spacing w:after="120" w:line="276" w:lineRule="auto"/>
        <w:ind w:firstLine="709"/>
        <w:jc w:val="both"/>
        <w:rPr>
          <w:rFonts w:ascii="Times New Roman" w:hAnsi="Times New Roman" w:cs="Times New Roman"/>
          <w:sz w:val="24"/>
          <w:szCs w:val="24"/>
        </w:rPr>
      </w:pPr>
      <w:r w:rsidRPr="00FD3642">
        <w:rPr>
          <w:rFonts w:ascii="Times New Roman" w:eastAsia="Times New Roman" w:hAnsi="Times New Roman" w:cs="Times New Roman"/>
          <w:sz w:val="24"/>
          <w:szCs w:val="24"/>
        </w:rPr>
        <w:t>(7) In the National Declaration of Contribution; In addition to the concrete and numerical targets for the sectors to be determined by the Presidency, there are also national and international financial mechanisms that will support emission reduction and protect environmental integrity, as well as actions and targets to be determined at the national and local level in order to adapt to the effects of climate change.</w:t>
      </w:r>
      <w:r w:rsidR="00175AAC" w:rsidRPr="00FD3642">
        <w:rPr>
          <w:rFonts w:ascii="Times New Roman" w:hAnsi="Times New Roman" w:cs="Times New Roman"/>
          <w:sz w:val="24"/>
          <w:szCs w:val="24"/>
        </w:rPr>
        <w:t>In the National Contribution Statement, the development priorities and special conditions of the country are taken into consideration and measures are taken within this framework.</w:t>
      </w:r>
    </w:p>
    <w:p w14:paraId="3A625F09" w14:textId="77777777" w:rsidR="004C577D" w:rsidRPr="00FD3642" w:rsidRDefault="004C577D" w:rsidP="00FD3642">
      <w:pPr>
        <w:spacing w:after="120" w:line="276" w:lineRule="auto"/>
        <w:ind w:firstLine="709"/>
        <w:jc w:val="center"/>
        <w:rPr>
          <w:rFonts w:ascii="Times New Roman" w:hAnsi="Times New Roman" w:cs="Times New Roman"/>
          <w:sz w:val="24"/>
          <w:szCs w:val="24"/>
        </w:rPr>
      </w:pPr>
    </w:p>
    <w:p w14:paraId="6AE4A373"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SECOND PART</w:t>
      </w:r>
    </w:p>
    <w:p w14:paraId="605F620B" w14:textId="77777777" w:rsidR="00C533EA" w:rsidRPr="00FD3642" w:rsidRDefault="00845DCC"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Combating Climate Change</w:t>
      </w:r>
    </w:p>
    <w:p w14:paraId="46413628" w14:textId="77777777" w:rsidR="00453FD9" w:rsidRPr="00FD3642" w:rsidRDefault="00453FD9" w:rsidP="00FD3642">
      <w:pPr>
        <w:spacing w:after="120" w:line="276" w:lineRule="auto"/>
        <w:ind w:firstLine="709"/>
        <w:jc w:val="center"/>
        <w:rPr>
          <w:rFonts w:ascii="Times New Roman" w:hAnsi="Times New Roman" w:cs="Times New Roman"/>
          <w:b/>
          <w:sz w:val="24"/>
          <w:szCs w:val="24"/>
        </w:rPr>
      </w:pPr>
    </w:p>
    <w:p w14:paraId="4EC78787" w14:textId="77777777" w:rsidR="007703ED" w:rsidRPr="00FD3642" w:rsidRDefault="00522D99" w:rsidP="00FD3642">
      <w:pPr>
        <w:tabs>
          <w:tab w:val="left" w:pos="1049"/>
        </w:tabs>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Mitigation targets</w:t>
      </w:r>
    </w:p>
    <w:p w14:paraId="57A72E91" w14:textId="77777777" w:rsidR="004340CF" w:rsidRPr="00FD3642" w:rsidRDefault="007703ED" w:rsidP="00FD3642">
      <w:pPr>
        <w:tabs>
          <w:tab w:val="left" w:pos="1049"/>
        </w:tabs>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4-</w:t>
      </w:r>
      <w:r w:rsidR="004340CF" w:rsidRPr="00FD3642">
        <w:rPr>
          <w:rFonts w:ascii="Times New Roman" w:hAnsi="Times New Roman" w:cs="Times New Roman"/>
          <w:sz w:val="24"/>
          <w:szCs w:val="24"/>
        </w:rPr>
        <w:t>(1) Greenhouse gas emissions are reduced in line with the net zero emission target and the targets and policies included in the National Declaration of Contribution. Within the scope of the duties and responsibilities assigned to them by the legislation, the relevant institutions and organizations make long-term projections of the sub-sectors, with priority given to the tasks listed in this article, and use planning tools including digitized targets; They are responsible for adapting, preparing, implementing, monitoring and updating. In this context;</w:t>
      </w:r>
    </w:p>
    <w:p w14:paraId="43B2596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Ministry;</w:t>
      </w:r>
    </w:p>
    <w:p w14:paraId="2C1D81E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The use of energy efficient, low-emission, local and environmentally friendly building materials and other products produced with the best available techniques throughout the sectoral life cycle for buildings, the dissemination of renewable energy use, and the development and use of integrated building design, building information modeling and modular construction technologies. by doing the necessary work on the basis of</w:t>
      </w:r>
    </w:p>
    <w:p w14:paraId="030CD2C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By making the concept of “Near Zero Energy Building”, which has very high energy efficiency and uses renewable energy, mandatory, providing an average of 25 percent improvement in the energy performance and carbon emissions of new buildings, and providing 10 percent of the energy of new buildings from renewable energy sources by 2025. by working on the construction of</w:t>
      </w:r>
    </w:p>
    <w:p w14:paraId="1DFE2888"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Realizing environmentally friendly, sustainable and low carbon emission projects in line with reduction and adaptation targets within the framework of urban transformation studies,</w:t>
      </w:r>
    </w:p>
    <w:p w14:paraId="3A65AAE6"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To end the disposal of municipal wastes by landfilling without processing in 2050 and to increase the waste recovery rate to 60 percent by 2035 by expanding zero waste practices,</w:t>
      </w:r>
    </w:p>
    <w:p w14:paraId="6959FA97"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Ensuring the implementation of circular economy principles, the creation of sustainable production and consumption mechanisms, and the effective execution of the Strategic Environmental Assessment process,</w:t>
      </w:r>
    </w:p>
    <w:p w14:paraId="3BEF662C"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w:t>
      </w:r>
      <w:r w:rsidR="00A95545" w:rsidRPr="00FD3642">
        <w:rPr>
          <w:rStyle w:val="Emphasis"/>
          <w:rFonts w:cs="Times New Roman"/>
          <w:color w:val="auto"/>
          <w:szCs w:val="24"/>
          <w:u w:val="none"/>
        </w:rPr>
        <w:t>In order to increase the effective use of resources and energy efficiency,</w:t>
      </w:r>
      <w:r w:rsidR="00A95545" w:rsidRPr="00FD3642">
        <w:rPr>
          <w:rFonts w:ascii="Times New Roman" w:hAnsi="Times New Roman" w:cs="Times New Roman"/>
          <w:sz w:val="24"/>
          <w:szCs w:val="24"/>
        </w:rPr>
        <w:t xml:space="preserve">Ensuring that the use of alternative energy sources such as waste-derived fuel and biomass is promoted and implemented by increasing the efficient use of resources and energy efficiency by using tools such as </w:t>
      </w:r>
      <w:r w:rsidR="00A95545" w:rsidRPr="00FD3642">
        <w:rPr>
          <w:rFonts w:ascii="Times New Roman" w:hAnsi="Times New Roman" w:cs="Times New Roman"/>
          <w:sz w:val="24"/>
          <w:szCs w:val="24"/>
        </w:rPr>
        <w:lastRenderedPageBreak/>
        <w:t>clean production, best available techniques, environmentally friendly practices and integrated pollution prevention,</w:t>
      </w:r>
    </w:p>
    <w:p w14:paraId="6A2F6E5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7) Promoting products or services with reduced environmental impact throughout their life cycle, ensuring the development and promotion of the implementation of the environmental label system,</w:t>
      </w:r>
    </w:p>
    <w:p w14:paraId="38A9D175"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8) To increase engine efficiency in the exhaust emissions of motor vehicles and to determine, monitor and audit the standards for emission control.</w:t>
      </w:r>
    </w:p>
    <w:p w14:paraId="65D5500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liable.</w:t>
      </w:r>
    </w:p>
    <w:p w14:paraId="436B937A"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Ministry of Industry and Technology;</w:t>
      </w:r>
    </w:p>
    <w:p w14:paraId="110589F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Ensuring the widespread use of energy and resource efficient and low-emission production methods and technologies, renewable energy, alternative fuels and low-carbon raw materials and electrification,</w:t>
      </w:r>
    </w:p>
    <w:p w14:paraId="1C8B5A25"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To prepare and implement the necessary technical regulations for the production of electric and alternative fuel vehicles in accordance with the road structure and traffic safety, and to certify or ensure that these vehicles comply with the technical regulations,</w:t>
      </w:r>
    </w:p>
    <w:p w14:paraId="290E0FD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Preparing administrative and technical regulations for the production and placing on the market of industrial products with low carbon footprint, with a priority to the use of secondary raw materials and climate-friendly resources, ensuring their implementation, inspecting or having them audited when necessary,</w:t>
      </w:r>
    </w:p>
    <w:p w14:paraId="1B8363A2"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Carrying out studies on developing renewable energy use infrastructures, increasing energy efficiency, disseminating industrial symbiosis and zero waste practices, and reducing greenhouse gas emissions in organized industrial zones, industrial zones, technology development zones, free zones and industrial sites,</w:t>
      </w:r>
    </w:p>
    <w:p w14:paraId="1A92093B"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To design incentive and support mechanisms for the reduction of greenhouse gas emissions of enterprises and to carry out these mechanisms effectively,</w:t>
      </w:r>
    </w:p>
    <w:p w14:paraId="6F78EBEE"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To ensure that climate and environmentally friendly technologies and innovative solutions are researched, developed, transferred and disseminated in all sectors,</w:t>
      </w:r>
    </w:p>
    <w:p w14:paraId="0CFFFEF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liable.</w:t>
      </w:r>
    </w:p>
    <w:p w14:paraId="53E482EC"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Ministry of Transport and Infrastructure;</w:t>
      </w:r>
    </w:p>
    <w:p w14:paraId="007F7EFD" w14:textId="77777777" w:rsidR="00B26A50" w:rsidRPr="00FD3642" w:rsidRDefault="00B26A5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Within the scope of the Road Transport Law No. 4925 dated 10/7/2003, developing and disseminating low or zero emission, energy efficient, alternative clean fuel transportation options in international, intercity and urban passenger and freight transportation by land, air and sea. ,</w:t>
      </w:r>
    </w:p>
    <w:p w14:paraId="36376EE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Working towards the decarbonisation of ports, maritime transport and all elements in the shipping value chain in the context of the maritime sector, developing zero-emission refueling and charging capabilities, deploying low- or zero-emission ships and creating green shipping corridors,</w:t>
      </w:r>
    </w:p>
    <w:p w14:paraId="07A74ABA"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In the aviation sector, working towards the decarbonization of all elements in the airline value chain of airports, improving their zero-emission refueling and charging capabilities, encouraging the use of low- or zero-emission aircraft, and creating green airline corridors,</w:t>
      </w:r>
    </w:p>
    <w:p w14:paraId="37EA6B3B"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liable.</w:t>
      </w:r>
    </w:p>
    <w:p w14:paraId="37208FF9"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 Ministry of Energy and Natural Resources;</w:t>
      </w:r>
    </w:p>
    <w:p w14:paraId="77401F9E"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1) To ensure the highest level of use of renewable energy resources by evaluating new technologies such as green hydrogen, carbon capture, use and storage in the energy sector,</w:t>
      </w:r>
    </w:p>
    <w:p w14:paraId="7209DA45"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Ensuring that energy efficiency practices are widespread in all sectors and that the waste heat potential is utilized effectively,</w:t>
      </w:r>
    </w:p>
    <w:p w14:paraId="7F077C3A"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Establishing the necessary infrastructure, especially battery systems and charging infrastructure, and the energy generation, transmission and distribution infrastructure to support them, in order to adapt to the energy transformation process, which includes clean and innovative energy technologies, resources and the need for electrification in the sectors, and carrying out the necessary studies for the establishment of smart grid systems. ,</w:t>
      </w:r>
    </w:p>
    <w:p w14:paraId="5D35C450"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liable.</w:t>
      </w:r>
    </w:p>
    <w:p w14:paraId="72B92C0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 Ministry of Agriculture and Forestry;</w:t>
      </w:r>
    </w:p>
    <w:p w14:paraId="44DA986E"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To reduce greenhouse gas emissions from the agricultural sector, based on national food security.</w:t>
      </w:r>
      <w:r w:rsidR="00823B81" w:rsidRPr="00FD3642">
        <w:rPr>
          <w:rFonts w:ascii="Times New Roman" w:hAnsi="Times New Roman" w:cs="Times New Roman"/>
          <w:b/>
          <w:color w:val="FF0000"/>
          <w:sz w:val="24"/>
          <w:szCs w:val="24"/>
        </w:rPr>
        <w:t xml:space="preserve"> </w:t>
      </w:r>
      <w:r w:rsidR="00823B81" w:rsidRPr="00FD3642">
        <w:rPr>
          <w:rFonts w:ascii="Times New Roman" w:hAnsi="Times New Roman" w:cs="Times New Roman"/>
          <w:sz w:val="24"/>
          <w:szCs w:val="24"/>
        </w:rPr>
        <w:t>to prevent food waste, to support and expand ecosystem-oriented, climate and nature-friendly agricultural production and consumption with integrated land management,</w:t>
      </w:r>
    </w:p>
    <w:p w14:paraId="11167AEC"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Establishing the land banking system, making national land use plans and completing the land consolidation works for the purpose of increasing productivity in agriculture and effective management of greenhouse gas emissions,</w:t>
      </w:r>
    </w:p>
    <w:p w14:paraId="267663B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To ensure and monitor the resource-efficient consumption of chemical fertilizers and plant protection products in agricultural production, to reduce the use of chemical fertilizers and to make the use of green and organic fertilizers widespread,</w:t>
      </w:r>
    </w:p>
    <w:p w14:paraId="26DCFF6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By increasing the R&amp;D activities on climate change in the agricultural sector, and disseminating agricultural production methods and technologies that reduce greenhouse gas emissions,</w:t>
      </w:r>
    </w:p>
    <w:p w14:paraId="073E3583"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To carry out the necessary studies within the scope of the management of methane emissions originating from agriculture and livestock,</w:t>
      </w:r>
    </w:p>
    <w:p w14:paraId="78978D12"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Reducing the pressure on sink areas with integrated sustainable land management in forest, agriculture, pasture and wetlands, increasing the average annual increase of wood wealth in forests based on the maximum protection, improvement and increase of these areas, functional production plans for forest areas, carbon sink and climate change. by adding a change function and using a maximum of 50 percent of the annual wood increase in our forests in the production of forest property in a 5-year average, in line with the Mediterranean Region average,</w:t>
      </w:r>
    </w:p>
    <w:p w14:paraId="690BEB5D"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liable.</w:t>
      </w:r>
    </w:p>
    <w:p w14:paraId="09514A7F"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 Local governments;</w:t>
      </w:r>
    </w:p>
    <w:p w14:paraId="0EA39958"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1) In urban transportation plans; To ensure the dissemination and promotion of the use of pedestrian, bicycle lanes and public transportation vehicles with low or zero emissions, and individual and shared micromobility systems such as scooters,</w:t>
      </w:r>
    </w:p>
    <w:p w14:paraId="353E8914"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Reducing the amount of waste, especially biodegradable wastes, going to landfill and expanding zero waste practices,</w:t>
      </w:r>
    </w:p>
    <w:p w14:paraId="3B1DA260"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Using climate-friendly practices in the construction, maintenance, repair and furnishing of its buildings, afforestation, giving importance to green corridor and green architecture,</w:t>
      </w:r>
    </w:p>
    <w:p w14:paraId="7AEB1C1B" w14:textId="77777777" w:rsidR="00D41147" w:rsidRPr="00FD3642" w:rsidRDefault="00D4114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liable.</w:t>
      </w:r>
    </w:p>
    <w:p w14:paraId="28A232D8" w14:textId="77777777" w:rsidR="004340CF" w:rsidRPr="00FD3642" w:rsidRDefault="004C577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The procedures and principles of the practices specified in this article for the realization of the reduction targets are determined by the Ministry together with the relevant public institutions and organizations within the scope of the task distribution specified in the first paragraph.</w:t>
      </w:r>
    </w:p>
    <w:p w14:paraId="718545D5" w14:textId="77777777" w:rsidR="002278EC" w:rsidRPr="00FD3642" w:rsidRDefault="002278EC"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compliance goals</w:t>
      </w:r>
    </w:p>
    <w:p w14:paraId="20D4F384" w14:textId="77777777" w:rsidR="004C577D" w:rsidRPr="00FD3642" w:rsidRDefault="002278EC"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hAnsi="Times New Roman" w:cs="Times New Roman"/>
          <w:b/>
          <w:sz w:val="24"/>
          <w:szCs w:val="24"/>
        </w:rPr>
        <w:t>ARTICLE 5-</w:t>
      </w:r>
      <w:r w:rsidRPr="00FD3642">
        <w:rPr>
          <w:rFonts w:ascii="Times New Roman" w:hAnsi="Times New Roman" w:cs="Times New Roman"/>
          <w:sz w:val="24"/>
          <w:szCs w:val="24"/>
        </w:rPr>
        <w:t>(one)</w:t>
      </w:r>
      <w:r w:rsidR="0075041A" w:rsidRPr="00FD3642">
        <w:rPr>
          <w:rFonts w:ascii="Times New Roman" w:eastAsia="Times New Roman" w:hAnsi="Times New Roman" w:cs="Times New Roman"/>
          <w:sz w:val="24"/>
          <w:szCs w:val="24"/>
          <w:lang w:eastAsia="tr-TR"/>
        </w:rPr>
        <w:t>In cooperation with the relevant institutions and organizations under the coordination of the Presidency, to carry out comprehensive adaptation activities in order to increase the resilience and adaptation capacity against climate change by detecting, eliminating or minimizing the risks, losses and damages arising from climate change, and to ensure access to the financial resources, technologies and techniques needed. national harmonization target is determined.</w:t>
      </w:r>
      <w:r w:rsidR="001145FB" w:rsidRPr="00FD3642">
        <w:rPr>
          <w:rFonts w:ascii="Times New Roman" w:hAnsi="Times New Roman" w:cs="Times New Roman"/>
          <w:sz w:val="24"/>
          <w:szCs w:val="24"/>
        </w:rPr>
        <w:t>Within the scope of the duties and responsibilities assigned to them by the legislation, the relevant institutions and organizations, with the priority of the duties listed in this article.</w:t>
      </w:r>
      <w:r w:rsidR="00A336CC" w:rsidRPr="00FD3642">
        <w:rPr>
          <w:rFonts w:ascii="Times New Roman" w:eastAsia="Times New Roman" w:hAnsi="Times New Roman" w:cs="Times New Roman"/>
          <w:sz w:val="24"/>
          <w:szCs w:val="24"/>
          <w:lang w:eastAsia="tr-TR"/>
        </w:rPr>
        <w:t>In line with the Zero Emissions Target and the National Harmonization Target</w:t>
      </w:r>
      <w:r w:rsidR="004C577D" w:rsidRPr="00FD3642">
        <w:rPr>
          <w:rFonts w:ascii="Times New Roman" w:hAnsi="Times New Roman" w:cs="Times New Roman"/>
          <w:sz w:val="24"/>
          <w:szCs w:val="24"/>
        </w:rPr>
        <w:t>planning tools, including digitized objectives; They are responsible for adapting, preparing, implementing, monitoring and updating. In this context;</w:t>
      </w:r>
    </w:p>
    <w:p w14:paraId="248EE19A"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a) Ministry;</w:t>
      </w:r>
    </w:p>
    <w:p w14:paraId="187191D6" w14:textId="77777777" w:rsidR="00B26A50"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Considering the effects of climate change in spatial plans and urban design projects, developing climate-sensitive designs and encouraging the use of building materials that are resistant to the negative effects of climate change on the basis of these designs,</w:t>
      </w:r>
    </w:p>
    <w:p w14:paraId="57F47DC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Within the scope of water management; ensuring efficient and effective use of water, taking measures to increase the reuse rate of treated wastewater to 15 percent in 2030, and expanding rainwater harvesting,</w:t>
      </w:r>
    </w:p>
    <w:p w14:paraId="59894C19"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3) To protect and develop ecosystems and biological diversity, to connect the habitats in the regions and to create ecological corridors in order to allow the passage of species, to increase the rate of protected areas by ensuring the preservation of marine and terrestrial protected areas,</w:t>
      </w:r>
    </w:p>
    <w:p w14:paraId="03394602"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4) To ensure that nature-based solutions are used in all sectors and thematic areas to adapt the infrastructure and superstructure to climate change and to make the necessary arrangements for the implementation of these approaches by local governments,</w:t>
      </w:r>
    </w:p>
    <w:p w14:paraId="473F75EB"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liable.</w:t>
      </w:r>
    </w:p>
    <w:p w14:paraId="689BA53E"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b) Ministry of Internal Affairs;</w:t>
      </w:r>
    </w:p>
    <w:p w14:paraId="361F2972" w14:textId="77777777" w:rsidR="00DE6A0D" w:rsidRPr="00FD3642" w:rsidRDefault="00DE6A0D"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To prepare comprehensive risk maps and decision support systems that will include climate change risks in order to strengthen disaster and risk management, and to ensure that measures such as awareness raising, preparedness for disasters and early warning system are implemented within the framework of disaster risk reduction plans,</w:t>
      </w:r>
    </w:p>
    <w:p w14:paraId="6485BFCC"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To take necessary measures on human mobility and forced displacement that may be caused by climate change and to include them in migration action plans.</w:t>
      </w:r>
    </w:p>
    <w:p w14:paraId="7A1BD696"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liable.</w:t>
      </w:r>
    </w:p>
    <w:p w14:paraId="190444C3"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c) Ministry of Agriculture and Forestry;</w:t>
      </w:r>
    </w:p>
    <w:p w14:paraId="53CEA183"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 xml:space="preserve">1) Within the scope of water management, by prioritizing the protection of water resources and taking into account the effects of climate change, preparing basin, drought, flood and water </w:t>
      </w:r>
      <w:r w:rsidRPr="00FD3642">
        <w:rPr>
          <w:rFonts w:ascii="Times New Roman" w:eastAsia="Times New Roman" w:hAnsi="Times New Roman" w:cs="Times New Roman"/>
          <w:sz w:val="24"/>
          <w:szCs w:val="24"/>
          <w:lang w:eastAsia="tr-TR"/>
        </w:rPr>
        <w:lastRenderedPageBreak/>
        <w:t>allocation plans, ensuring that water is used efficiently and economically in all sectors, and giving priority to nature-based solutions in all its activities,</w:t>
      </w:r>
    </w:p>
    <w:p w14:paraId="39171307"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Developing climate sensitive agriculture practices that take into account the product pattern of the basins and the water budget in order to protect ecosystem services and biodiversity in line with the objectives of the agricultural sector to be resistant and sustainable to climate change and to ensure food safety,</w:t>
      </w:r>
    </w:p>
    <w:p w14:paraId="4541D7B9"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3) Carrying out R&amp;D studies for the determination of climate change adaptation options related to agricultural products and fields,</w:t>
      </w:r>
    </w:p>
    <w:p w14:paraId="09FDA86E"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4) To make the selection of species in afforestation studies in the forestry sector by considering the negative effects of climate change, to develop, update and implement strategies to combat disease factors, invasive species and forest fires that spread with the effect of climate change,</w:t>
      </w:r>
    </w:p>
    <w:p w14:paraId="63333DBB"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5) To plan adaptation activities to climate change for the protection of forest ecosystems, to carry out ecological restoration studies and to supervise the implementation of these studies,</w:t>
      </w:r>
    </w:p>
    <w:p w14:paraId="3FD40A7F"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6) To take measures to protect biological diversity and to ensure the continuity of ecological interactions,</w:t>
      </w:r>
    </w:p>
    <w:p w14:paraId="44A382A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7) To ensure the implementation of ecosystem-based fisheries management and to protect and develop aquatic biological diversity.</w:t>
      </w:r>
    </w:p>
    <w:p w14:paraId="4FD721D2"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liable.</w:t>
      </w:r>
    </w:p>
    <w:p w14:paraId="0B394C22"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ç) Ministry of Health;</w:t>
      </w:r>
    </w:p>
    <w:p w14:paraId="302A7BD6"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By determining the risks posed by climate change on public health, including at the local scale, and taking measures for climate and health adaptation to reduce possible negative effects.</w:t>
      </w:r>
    </w:p>
    <w:p w14:paraId="68DD7F28"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To manage impact identification, prevention, monitoring, early warning and rapid response activities in coordination with the participation of relevant disciplines and sectors within the framework of the One Health approach, which deals with the unity of human, food and environment.</w:t>
      </w:r>
    </w:p>
    <w:p w14:paraId="14640723"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liable.</w:t>
      </w:r>
    </w:p>
    <w:p w14:paraId="5C7288E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d) Ministry of Culture and Tourism; It is responsible for determining the risks posed by climate change on historical and cultural assets and the tourism sector, and taking measures to reduce possible negative effects.</w:t>
      </w:r>
    </w:p>
    <w:p w14:paraId="30F9FE4D"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e) Ministry of Energy and Natural Resources; In line with ensuring energy security, it is responsible for mapping the current and potential negative effects of climate change on energy production, transmission and distribution, taking necessary precautions, carrying out plans and projects compatible with climate change in fragile regions under the guidance of risk analyzes, and disseminating on-site energy generation practices, taking into account social development, in line with ensuring energy security. .</w:t>
      </w:r>
    </w:p>
    <w:p w14:paraId="019D8C4B"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f) The Ministry of Family and Social Services is responsible for carrying out activities that will reduce poverty and help strengthen vulnerable groups by developing social protection tools compatible with climate change.</w:t>
      </w:r>
    </w:p>
    <w:p w14:paraId="141BD531"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g) The Ministry of Transport and Infrastructure is responsible for determining the negative effects of climate change on the transportation, maritime and communication sectors and taking the necessary measures to adapt these sectors to climate change.</w:t>
      </w:r>
    </w:p>
    <w:p w14:paraId="0ACE7845" w14:textId="77777777" w:rsidR="005958A9" w:rsidRPr="00FD3642" w:rsidRDefault="00417BDC"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lastRenderedPageBreak/>
        <w:t>ğ) Local governments;</w:t>
      </w:r>
    </w:p>
    <w:p w14:paraId="2DE8A847" w14:textId="77777777" w:rsidR="005958A9" w:rsidRPr="00FD3642" w:rsidRDefault="00E934DE"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1) To manage the risks of climate change in urban transportation and to make sustainable transportation planning in order to ensure sustainability and resilience, and to ensure the dissemination and promotion of alternative transportation methods,</w:t>
      </w:r>
    </w:p>
    <w:p w14:paraId="518C6646"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Within the scope of urban planning and buildings, taking into account the effects of climate change in the site selection and planning of different usage areas such as housing, commercial, public service and open and green areas where the cultural, social and recreational needs of the individual and society are met, developing climate sensitive designs in buildings and having them implemented. and giving priority to nature-based solutions in all its applications,</w:t>
      </w:r>
    </w:p>
    <w:p w14:paraId="123C6FA6" w14:textId="77777777" w:rsidR="00DE6A0D" w:rsidRPr="00FD3642" w:rsidRDefault="00DE6A0D"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3) Within the scope of water management, by reducing water losses in drinking water supply and distribution systems in line with the efficient and effective use of water in all sectors in settlements under the responsibility of local governments, by reducing the loss and leakage rate gradually and on a population basis until 2030, and by maintaining this rate, by taking measures such as reuse, rainwater harvesting.</w:t>
      </w:r>
    </w:p>
    <w:p w14:paraId="3393F7CA"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4) Implement innovative solutions such as permeable infrastructure systems and nature-based solutions by improving the infrastructure in urban areas in the management of risks such as floods and urban floods caused by climate change.</w:t>
      </w:r>
    </w:p>
    <w:p w14:paraId="4E95DAF8" w14:textId="77777777" w:rsidR="005958A9" w:rsidRPr="00FD3642" w:rsidRDefault="005958A9"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liable.</w:t>
      </w:r>
    </w:p>
    <w:p w14:paraId="65FE4D15" w14:textId="77777777" w:rsidR="00B26A50" w:rsidRPr="00FD3642" w:rsidRDefault="00B26A50" w:rsidP="00FD3642">
      <w:pPr>
        <w:spacing w:after="120" w:line="276" w:lineRule="auto"/>
        <w:ind w:firstLine="709"/>
        <w:jc w:val="both"/>
        <w:rPr>
          <w:rFonts w:ascii="Times New Roman" w:eastAsia="Times New Roman" w:hAnsi="Times New Roman" w:cs="Times New Roman"/>
          <w:sz w:val="24"/>
          <w:szCs w:val="24"/>
          <w:lang w:eastAsia="tr-TR"/>
        </w:rPr>
      </w:pPr>
      <w:r w:rsidRPr="00FD3642">
        <w:rPr>
          <w:rFonts w:ascii="Times New Roman" w:eastAsia="Times New Roman" w:hAnsi="Times New Roman" w:cs="Times New Roman"/>
          <w:sz w:val="24"/>
          <w:szCs w:val="24"/>
          <w:lang w:eastAsia="tr-TR"/>
        </w:rPr>
        <w:t>(2) Ministries and local governments; Uses such as buildings, industry, tourism, all kinds of water, waste, energy, transportation, communication facilities and transmission lines, as well as the location selection and planning of open and green areas where the cultural, social and recreational needs of the individual and society are met, take into account the risk maps containing climate change risks. they keep it.</w:t>
      </w:r>
    </w:p>
    <w:p w14:paraId="67E01B88" w14:textId="77777777" w:rsidR="0075041A" w:rsidRPr="00FD3642" w:rsidRDefault="0075041A"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sz w:val="24"/>
          <w:szCs w:val="24"/>
        </w:rPr>
        <w:t>(3) The procedures and principles of the practices specified in this article for the realization of the harmonization goals are determined by the Ministry together with the relevant public institutions and organizations within the scope of the task distribution specified in the first paragraph.</w:t>
      </w:r>
    </w:p>
    <w:p w14:paraId="1B8D28BE" w14:textId="77777777" w:rsidR="00BD54AB" w:rsidRPr="00FD3642" w:rsidRDefault="00BD54AB"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Planning and implementation tools</w:t>
      </w:r>
    </w:p>
    <w:p w14:paraId="1160CFED" w14:textId="77777777" w:rsidR="00BD54AB" w:rsidRPr="00FD3642" w:rsidRDefault="00BD54AB"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6-</w:t>
      </w:r>
      <w:r w:rsidRPr="00FD3642">
        <w:rPr>
          <w:rFonts w:ascii="Times New Roman" w:hAnsi="Times New Roman" w:cs="Times New Roman"/>
          <w:sz w:val="24"/>
          <w:szCs w:val="24"/>
        </w:rPr>
        <w:t>(1) The principles regarding the planning tools for the implementation of this Law are as follows;</w:t>
      </w:r>
    </w:p>
    <w:p w14:paraId="4A1574D7" w14:textId="77777777" w:rsidR="00BD54AB" w:rsidRPr="00FD3642" w:rsidRDefault="00E36D9C"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National climate change strategies and action plans are prepared periodically in cooperation with the relevant institutions and organizations under the coordination of the Presidency, in order to achieve the reduction and adaptation targets set forth in the Law. Action plans are implemented by the responsible institutions and organizations. Monitoring and evaluation of the implementation is done under the coordination of the Presidency with the contributions of the responsible institutions and organizations.</w:t>
      </w:r>
    </w:p>
    <w:p w14:paraId="3430295C" w14:textId="77777777" w:rsidR="00BD54AB" w:rsidRPr="00FD3642" w:rsidRDefault="00BD54AB"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Local Climate Change Action Plans; for each province, including greenhouse gas emissions inventory, greenhouse gas reduction target and actions, vulnerability analysis and climate change adaptation actions; It is prepared/prepared as an integrated plan of the province by the metropolitan municipality in metropolitan cities and under the coordination of the Governorship in other provinces and approved by the Provincial Climate Change and Adaptation Coordination Board and its implementation is monitored.</w:t>
      </w:r>
    </w:p>
    <w:p w14:paraId="36AF6C50"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(2) The principles regarding the implementation tools within the scope of this Law are as follows;</w:t>
      </w:r>
    </w:p>
    <w:p w14:paraId="02DB1441"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In order to reduce greenhouse gas emissions within the framework of the green development vision, carbon pricing instruments, especially the emission trading system, are developed.</w:t>
      </w:r>
    </w:p>
    <w:p w14:paraId="29A4B743"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Models are developed to direct national and international financing resources for the practices of local governments to combat climate change and for climate-friendly investments of the private sector.</w:t>
      </w:r>
    </w:p>
    <w:p w14:paraId="2F176148"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Studies on taxonomy are carried out under the coordination of the Presidency.</w:t>
      </w:r>
    </w:p>
    <w:p w14:paraId="2EFBCCC4"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 Climate finance and incentives to combat climate change are coordinated, monitored and reported by the relevant institutions.</w:t>
      </w:r>
    </w:p>
    <w:p w14:paraId="0CEB4B3B" w14:textId="77777777" w:rsidR="000D54DF"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 Financial instruments are developed for the prevention and compensation of losses and damages due to the effects of climate change, an insurance system is established or existing insurance systems are developed in this context.</w:t>
      </w:r>
    </w:p>
    <w:p w14:paraId="39B1C99C" w14:textId="77777777" w:rsidR="000D54DF"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 Within the scope of this Law; A Climate Change Financing Mechanism can be established to channel financial resources to projects. Public institutions and organizations can create incentive mechanisms for reducing greenhouse gas emissions and adapting to climate change when necessary.</w:t>
      </w:r>
    </w:p>
    <w:p w14:paraId="749041D5" w14:textId="77777777" w:rsidR="00BD54AB"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 In the planning and implementation tools prepared by the relevant institutions and organizations in order to achieve the net zero emission target, the use of clean technologies is taken as a basis.</w:t>
      </w:r>
    </w:p>
    <w:p w14:paraId="5D3A7240" w14:textId="77777777" w:rsidR="00BD54AB" w:rsidRPr="00FD3642" w:rsidRDefault="0095622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g) A Climate Change Research Center is established under the Presidency or Universities in order to carry out, support and coordinate scientific studies and research in order to support decision-making processes in the fight against climate change.</w:t>
      </w:r>
    </w:p>
    <w:p w14:paraId="263DF46B" w14:textId="77777777" w:rsidR="0095622F" w:rsidRPr="00FD3642" w:rsidRDefault="0095622F"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ğ) By all institutions and organizations</w:t>
      </w:r>
      <w:r w:rsidRPr="00FD3642">
        <w:rPr>
          <w:rFonts w:ascii="Times New Roman" w:eastAsia="Calibri" w:hAnsi="Times New Roman" w:cs="Times New Roman"/>
          <w:sz w:val="24"/>
          <w:szCs w:val="24"/>
        </w:rPr>
        <w:t>on climate change and adaptation</w:t>
      </w:r>
      <w:r w:rsidRPr="00FD3642">
        <w:rPr>
          <w:rFonts w:ascii="Times New Roman" w:hAnsi="Times New Roman" w:cs="Times New Roman"/>
          <w:sz w:val="24"/>
          <w:szCs w:val="24"/>
        </w:rPr>
        <w:t>All kinds of training, awareness raising and capacity building activities are carried out to increase public awareness.</w:t>
      </w:r>
    </w:p>
    <w:p w14:paraId="31D66751" w14:textId="77777777" w:rsidR="0095622F" w:rsidRPr="00FD3642" w:rsidRDefault="0095622F" w:rsidP="00FD3642">
      <w:pPr>
        <w:spacing w:after="120" w:line="276" w:lineRule="auto"/>
        <w:ind w:firstLine="709"/>
        <w:jc w:val="both"/>
        <w:rPr>
          <w:rFonts w:ascii="Times New Roman" w:eastAsia="Calibri" w:hAnsi="Times New Roman" w:cs="Times New Roman"/>
          <w:sz w:val="24"/>
          <w:szCs w:val="24"/>
        </w:rPr>
      </w:pPr>
      <w:r w:rsidRPr="00FD3642">
        <w:rPr>
          <w:rFonts w:ascii="Times New Roman" w:eastAsia="Calibri" w:hAnsi="Times New Roman" w:cs="Times New Roman"/>
          <w:sz w:val="24"/>
          <w:szCs w:val="24"/>
        </w:rPr>
        <w:t>h) The Ministry of National Education and YÖK update the curriculum and programs in order to increase awareness and capacity on climate change and adaptation, and provide the necessary infrastructure for the training of green workforce.</w:t>
      </w:r>
    </w:p>
    <w:p w14:paraId="09465BFB" w14:textId="77777777" w:rsidR="00BD54AB" w:rsidRPr="00FD3642" w:rsidRDefault="000D54DF"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ı) The Presidency is authorized to establish structures such as boards and committees responsible for conducting scientific studies on the fight against climate change, preparing national, sectoral and thematic reports, and providing science-based recommendations to the Climate Change and Adaptation Coordination Board.</w:t>
      </w:r>
    </w:p>
    <w:p w14:paraId="6B435F95" w14:textId="77777777" w:rsidR="00C42203" w:rsidRPr="00FD3642" w:rsidRDefault="00C42203"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sz w:val="24"/>
          <w:szCs w:val="24"/>
        </w:rPr>
        <w:t>(3) Climate Change and Adaptation Coordination Board; It is responsible for determining, monitoring and evaluating plans, policies, strategies and actions related to climate change.</w:t>
      </w:r>
    </w:p>
    <w:p w14:paraId="12B6C833" w14:textId="77777777" w:rsidR="00DE6A0D" w:rsidRPr="00FD3642" w:rsidRDefault="00DE6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Provincial Climate Change and Adaptation Coordination Board; net zero emissions, national cohesion and</w:t>
      </w:r>
      <w:r w:rsidRPr="00FD3642">
        <w:rPr>
          <w:rFonts w:ascii="Times New Roman" w:eastAsia="Times New Roman" w:hAnsi="Times New Roman" w:cs="Times New Roman"/>
          <w:sz w:val="24"/>
          <w:szCs w:val="24"/>
        </w:rPr>
        <w:t>green development</w:t>
      </w:r>
      <w:r w:rsidRPr="00FD3642">
        <w:rPr>
          <w:rFonts w:ascii="Times New Roman" w:hAnsi="Times New Roman" w:cs="Times New Roman"/>
          <w:sz w:val="24"/>
          <w:szCs w:val="24"/>
        </w:rPr>
        <w:t xml:space="preserve">in line with its vision; decides the steps to be taken at the local level and the policy, strategy, action and application areas to be determined in accordance with the conditions of the province. Provincial Climate Change and Adaptation Coordination Board, whose working procedures and principles are determined by the Presidency; under the chairmanship of the governor, the provincial and/or regional organization of the members of the Climate Change and Adaptation Coordination Board, if any, and the special provincial administration and </w:t>
      </w:r>
      <w:r w:rsidRPr="00FD3642">
        <w:rPr>
          <w:rFonts w:ascii="Times New Roman" w:hAnsi="Times New Roman" w:cs="Times New Roman"/>
          <w:sz w:val="24"/>
          <w:szCs w:val="24"/>
        </w:rPr>
        <w:lastRenderedPageBreak/>
        <w:t>representatives of all municipalities in the province, and the provincial directorate of environment, urbanism and climate change carries out its secretariat until the provincial organization of the Presidency is established. Other institutions and organizations, universities, non-governmental organizations and private sector representatives may also be invited to the Board, without the right to vote, to contribute to the work, upon the invitation of the governor, when the work subjects require.</w:t>
      </w:r>
    </w:p>
    <w:p w14:paraId="092B03C1" w14:textId="77777777" w:rsidR="00BA69C7" w:rsidRPr="00FD3642" w:rsidRDefault="00DE6A0D" w:rsidP="00FD3642">
      <w:pPr>
        <w:spacing w:after="120" w:line="276" w:lineRule="auto"/>
        <w:ind w:firstLine="709"/>
        <w:jc w:val="both"/>
        <w:rPr>
          <w:rFonts w:ascii="Times New Roman" w:hAnsi="Times New Roman" w:cs="Times New Roman"/>
          <w:sz w:val="24"/>
          <w:szCs w:val="24"/>
        </w:rPr>
      </w:pPr>
      <w:r w:rsidRPr="00FD3642" w:rsidDel="00DE6A0D">
        <w:rPr>
          <w:rFonts w:ascii="Times New Roman" w:hAnsi="Times New Roman" w:cs="Times New Roman"/>
          <w:sz w:val="24"/>
          <w:szCs w:val="24"/>
        </w:rPr>
        <w:t>(5) The Presidency is authorized to directly request all kinds of data, information and documents that it deems necessary for the implementation of this Law, from public institutions and organizations and real and legal persons. Those from whom data and information are requested; It is obliged to share this data and information free of charge and within the requested time and quality with the Presidency or the institutions and organizations authorized by the Presidency.</w:t>
      </w:r>
    </w:p>
    <w:p w14:paraId="523BB191" w14:textId="77777777" w:rsidR="00A520EC" w:rsidRPr="00FD3642" w:rsidRDefault="00BA69C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The procedures and principles of the practices specified in this article are determined by the Ministry together with the relevant public institutions and organizations, within the scope of the distribution of duties.</w:t>
      </w:r>
    </w:p>
    <w:p w14:paraId="5717F931" w14:textId="77777777" w:rsidR="00612EC6" w:rsidRPr="00FD3642" w:rsidRDefault="00612EC6" w:rsidP="00FD3642">
      <w:pPr>
        <w:widowControl w:val="0"/>
        <w:spacing w:after="120" w:line="276" w:lineRule="auto"/>
        <w:ind w:firstLine="709"/>
        <w:jc w:val="both"/>
        <w:rPr>
          <w:rFonts w:ascii="Times New Roman" w:hAnsi="Times New Roman" w:cs="Times New Roman"/>
          <w:b/>
          <w:sz w:val="24"/>
          <w:szCs w:val="24"/>
        </w:rPr>
      </w:pPr>
    </w:p>
    <w:p w14:paraId="4DBFADC2"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THIRD PART</w:t>
      </w:r>
    </w:p>
    <w:p w14:paraId="4D79C6F7"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Emission Trading System</w:t>
      </w:r>
    </w:p>
    <w:p w14:paraId="53D2C340"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57996011" w14:textId="77777777" w:rsidR="00522D99" w:rsidRPr="00FD3642" w:rsidRDefault="00522D99"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Establishment of Emission Trading System</w:t>
      </w:r>
    </w:p>
    <w:p w14:paraId="320742A5"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7-</w:t>
      </w:r>
      <w:r w:rsidR="00BA67E4" w:rsidRPr="00FD3642">
        <w:rPr>
          <w:rFonts w:ascii="Times New Roman" w:hAnsi="Times New Roman" w:cs="Times New Roman"/>
          <w:sz w:val="24"/>
          <w:szCs w:val="24"/>
        </w:rPr>
        <w:t>(1) The Emissions Trading System is established by the Presidency, within this scope, flexibility mechanisms and market stability mechanisms can be developed.</w:t>
      </w:r>
    </w:p>
    <w:p w14:paraId="5B947EF1" w14:textId="77777777" w:rsidR="00522D99" w:rsidRPr="00FD3642" w:rsidRDefault="00BA67E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Enterprises within the scope of the Emissions Trading System must obtain a greenhouse gas emission permit from the Presidency in order to carry out their activities that cause greenhouse gas emissions.</w:t>
      </w:r>
    </w:p>
    <w:p w14:paraId="6AD6DCEF"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Data on verified greenhouse gas emissions of businesses within the Emissions Trading System and their performance within the Emissions Trading System; It can be shared with relevant institutions for the functioning of the market and the realization of financial transactions.</w:t>
      </w:r>
    </w:p>
    <w:p w14:paraId="4FE6A08E" w14:textId="77777777" w:rsidR="008F0677" w:rsidRPr="00FD3642" w:rsidRDefault="00452B7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It is permissible to use offsetting in the Emissions Trading System or other transactions for the purpose of fulfilling the reduction obligation. Project owners or institutions and organizations authorized for this work, offsetting projects received from the country or abroad to be used within the scope of the Emissions Trading System; It is obliged to register it with the Presidency system or the institution authorized by the Presidency.</w:t>
      </w:r>
    </w:p>
    <w:p w14:paraId="5DAA386F" w14:textId="77777777" w:rsidR="00522D99" w:rsidRPr="00FD3642" w:rsidRDefault="00452B7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Without prejudice to the provisions regarding authority and responsibility in this Law and other legislation;</w:t>
      </w:r>
    </w:p>
    <w:p w14:paraId="6643D3C9"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a) Carbon Market Board; Under the chairmanship of the Minister, one representative each from the Chief Climate Change Negotiator and at least the Deputy Minister level, the Ministry of Energy and Natural Resources, the Ministry of Treasury and Finance, the Ministry of Industry and Technology, the Ministry of Trade, and at least one representative of the Presidency Strategy and Budget Presidency, at the level of the Vice President. and the Climate Change President, whose secretariat is determined as the Presidency and determining the carbon pricing tools, deciding on the distribution of free allowances, determining the amount of allowances to be auctioned, determining the plans, policies, strategies and actions related to the ETS, sector, project that will be the subject of </w:t>
      </w:r>
      <w:r w:rsidRPr="00FD3642">
        <w:rPr>
          <w:rFonts w:ascii="Times New Roman" w:hAnsi="Times New Roman" w:cs="Times New Roman"/>
          <w:sz w:val="24"/>
          <w:szCs w:val="24"/>
        </w:rPr>
        <w:lastRenderedPageBreak/>
        <w:t>the International Carbon Market It fulfills the tasks of determining the activities and activities and determining the limitations related to them.</w:t>
      </w:r>
    </w:p>
    <w:p w14:paraId="5320C193"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highlight w:val="yellow"/>
        </w:rPr>
      </w:pPr>
      <w:r w:rsidRPr="00FD3642">
        <w:rPr>
          <w:rFonts w:ascii="Times New Roman" w:hAnsi="Times New Roman" w:cs="Times New Roman"/>
          <w:sz w:val="24"/>
          <w:szCs w:val="24"/>
        </w:rPr>
        <w:t>b) Presidency; To develop and regulate the Emissions Trading System, to manage the allocation processes, to manage the monitoring, reporting and verification process of greenhouse gas emissions, to regulate the offset activities, to determine the use of emission reduction certificates within the scope of the Emissions Trading System, to develop policies and decide on the issue of importing and exporting credits at the international level. is authorized to do all kinds of work and transactions.</w:t>
      </w:r>
    </w:p>
    <w:p w14:paraId="2AAF1266" w14:textId="77777777"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Capital Markets Board; monitoring the transactions in the carbon markets, taking measures against market abuse or market fraud in accordance with this Law and the Capital Market Law dated 6/12/2012 and numbered 6362, and performing the necessary works and transactions for the supervision and control of the market, preparing a report on the market operator, within its authority It fulfills the duties of supervising compliance with this Law, encouraging compliance with the legislation and penalizing violations.</w:t>
      </w:r>
    </w:p>
    <w:p w14:paraId="19619F69" w14:textId="77777777"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 Market operator; In line with the decisions of the Carbon Market Board and the authorities given under the Law No. 6362; Establishing, organizing and operating the carbon market, organizing and executing the auction process in the greenhouse gas emission trading system, in which transactions are carried out to ensure the distribution of appropriations among the participants in the primary market, and reporting the actions with suspicion of market abuse to the Presidency and the Capital Markets Board for the necessary supervision. fulfills.</w:t>
      </w:r>
    </w:p>
    <w:p w14:paraId="512D3624" w14:textId="77777777"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 Central clearing house; It fulfills the duties of carrying out its activities and performing risk and collateral management within the scope of Law No. 6362.</w:t>
      </w:r>
    </w:p>
    <w:p w14:paraId="4E82E95B" w14:textId="77777777" w:rsidR="00522D99" w:rsidRPr="00FD3642" w:rsidRDefault="005D43F0"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 Central registry; Within the scope of Law No. 6362, monitoring of dematerialized issuance, holding, trading and cancellation of allowances and related rights on a beneficiary basis and establishing the Transaction Recording System within the market mechanism, dematerialized allocations and their rights related to them, It fulfills the duties of dematerialization, central storage and the exercise of rights related to these by the members and right holders in the electronic environment, and ensuring the confidentiality of the records within the framework stipulated in the relevant legislation.</w:t>
      </w:r>
    </w:p>
    <w:p w14:paraId="0F3F1F94" w14:textId="77777777" w:rsidR="004D3490" w:rsidRPr="00FD3642" w:rsidRDefault="0024771C"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The procedures and principles regarding the practices, coverage and market specified in line with the authorizations in the Emissions Trading System are determined jointly by the Capital Markets Board and the Presidency.</w:t>
      </w:r>
    </w:p>
    <w:p w14:paraId="03AB2A3D" w14:textId="77777777" w:rsidR="00522D99" w:rsidRPr="00FD3642" w:rsidRDefault="00522D99"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Allocations and their legal nature</w:t>
      </w:r>
    </w:p>
    <w:p w14:paraId="588025D9"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8-</w:t>
      </w:r>
      <w:r w:rsidR="007B3556" w:rsidRPr="00FD3642">
        <w:rPr>
          <w:rFonts w:ascii="Times New Roman" w:hAnsi="Times New Roman" w:cs="Times New Roman"/>
          <w:sz w:val="24"/>
          <w:szCs w:val="24"/>
        </w:rPr>
        <w:t>(1) Allowances; They are capital market instruments in the sense specified in Article 3 of the Law No. 6362, which are undifferentiated, transferable, dematerialized, and provide emission permits equivalent to one tonne of carbon dioxide for a certain period of time.</w:t>
      </w:r>
    </w:p>
    <w:p w14:paraId="4738DECE" w14:textId="77777777" w:rsidR="008F0677" w:rsidRPr="00FD3642" w:rsidRDefault="008F0677"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It is obligatory to submit annual allocations corresponding to the annual emission data verified within the scope of the Emissions Trading System. The enterprise, which does not fulfill the allocation delivery obligation, is obliged to deliver allowances equal to the sanction-based emissions specified in the Law No. 2872, while delivering its allowances for the next calendar year.</w:t>
      </w:r>
    </w:p>
    <w:p w14:paraId="6BC87108" w14:textId="77777777" w:rsidR="007B3556"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Free allowances can be provided under the Emissions Trading System.</w:t>
      </w:r>
    </w:p>
    <w:p w14:paraId="03A524D7" w14:textId="77777777" w:rsidR="00602A0D"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(4) The market operator is obliged to carry out the necessary organization and to fulfill the duties of the market operator in order for the allowances and other products related to emission trading approved by the Presidency to be traded in the secondary market. “Continuous Trading Method” is applied as a trading method in the secondary market.</w:t>
      </w:r>
    </w:p>
    <w:p w14:paraId="7182F2FE" w14:textId="77777777" w:rsidR="007B3556"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With the decision of the Carbon Market Board, the allocations within the scope of the ETS and the allocation amounts to be transferred for the next year are published in the Official Gazette each year until October 31st.</w:t>
      </w:r>
    </w:p>
    <w:p w14:paraId="47B0DE87" w14:textId="77777777" w:rsidR="00522D99"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In accordance with the regulations made within the framework of this Law and Law No. 6362, the collaterals held by the market operator and the central clearing house and the assets in the guarantee fund in order to prevent clearing risks; They cannot be used other than for their purposes, cannot be seized, pledged, not affected by the liquidation decisions of the administrative authorities, cannot be included in the bankruptcy estate and cannot be subject to precautionary measures, even for public receivables.</w:t>
      </w:r>
    </w:p>
    <w:p w14:paraId="6755BC61" w14:textId="77777777" w:rsidR="00522D99" w:rsidRPr="00FD3642" w:rsidRDefault="00602A0D"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(7) Allocations are exempt from the issuer and issuer provisions of Law No. 6362.</w:t>
      </w:r>
    </w:p>
    <w:p w14:paraId="5F28BF2F" w14:textId="77777777" w:rsidR="007B3556" w:rsidRPr="00FD3642" w:rsidRDefault="007B3556"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(8) Emission allocations cannot be subject to guarantee contracts, cannot be seized, pledged, not affected by the liquidation decisions of administrative authorities, cannot be included in the bankruptcy estate, and precautionary measures cannot be placed on them, even for public receivables. It is obligatory to issue the allowances to be issued in electronic form at the Central Registry Agency and to monitor the rights related to them on the basis of right holders. Rights to dematerialized allowances are monitored by the central registry.</w:t>
      </w:r>
    </w:p>
    <w:p w14:paraId="393B6822" w14:textId="77777777" w:rsidR="00522D99" w:rsidRPr="00FD3642" w:rsidRDefault="00602A0D" w:rsidP="00FD3642">
      <w:pPr>
        <w:spacing w:after="120" w:line="276" w:lineRule="auto"/>
        <w:ind w:firstLine="708"/>
        <w:jc w:val="both"/>
        <w:rPr>
          <w:rFonts w:ascii="Times New Roman" w:hAnsi="Times New Roman" w:cs="Times New Roman"/>
          <w:sz w:val="24"/>
          <w:szCs w:val="24"/>
        </w:rPr>
      </w:pPr>
      <w:r w:rsidRPr="00FD3642">
        <w:rPr>
          <w:rFonts w:ascii="Times New Roman" w:hAnsi="Times New Roman" w:cs="Times New Roman"/>
          <w:sz w:val="24"/>
          <w:szCs w:val="24"/>
        </w:rPr>
        <w:t>(9) In cases where there is no provision in this Law regarding allocations, Law No. 6362 and relevant legislation shall apply.</w:t>
      </w:r>
    </w:p>
    <w:p w14:paraId="3716B612" w14:textId="77777777" w:rsidR="00522D99" w:rsidRPr="00FD3642" w:rsidRDefault="00522D99" w:rsidP="00FD3642">
      <w:pPr>
        <w:widowControl w:val="0"/>
        <w:tabs>
          <w:tab w:val="left" w:pos="566"/>
        </w:tabs>
        <w:spacing w:after="120" w:line="276" w:lineRule="auto"/>
        <w:ind w:firstLine="709"/>
        <w:jc w:val="both"/>
        <w:rPr>
          <w:rFonts w:ascii="Times New Roman" w:hAnsi="Times New Roman" w:cs="Times New Roman"/>
          <w:sz w:val="24"/>
          <w:szCs w:val="24"/>
        </w:rPr>
      </w:pPr>
    </w:p>
    <w:p w14:paraId="7D53A295" w14:textId="77777777" w:rsidR="00C533EA" w:rsidRPr="00FD3642" w:rsidRDefault="006C220A" w:rsidP="00FD3642">
      <w:pPr>
        <w:spacing w:after="120" w:line="276" w:lineRule="auto"/>
        <w:ind w:firstLine="709"/>
        <w:jc w:val="center"/>
        <w:rPr>
          <w:rFonts w:ascii="Times New Roman" w:hAnsi="Times New Roman" w:cs="Times New Roman"/>
          <w:b/>
          <w:sz w:val="24"/>
          <w:szCs w:val="24"/>
        </w:rPr>
      </w:pPr>
      <w:r w:rsidRPr="00FD3642" w:rsidDel="006C220A">
        <w:rPr>
          <w:rFonts w:ascii="Times New Roman" w:hAnsi="Times New Roman" w:cs="Times New Roman"/>
          <w:sz w:val="24"/>
          <w:szCs w:val="24"/>
        </w:rPr>
        <w:t>CHAPTER FOUR</w:t>
      </w:r>
    </w:p>
    <w:p w14:paraId="0C912A5D" w14:textId="77777777" w:rsidR="00764B07" w:rsidRPr="00FD3642" w:rsidRDefault="00C533EA" w:rsidP="00FD3642">
      <w:pPr>
        <w:spacing w:after="120" w:line="276" w:lineRule="auto"/>
        <w:ind w:firstLine="709"/>
        <w:jc w:val="center"/>
        <w:rPr>
          <w:rStyle w:val="MaviChar"/>
          <w:color w:val="auto"/>
          <w:u w:val="none"/>
        </w:rPr>
      </w:pPr>
      <w:r w:rsidRPr="00FD3642">
        <w:rPr>
          <w:rStyle w:val="MaviChar"/>
          <w:color w:val="auto"/>
          <w:u w:val="none"/>
        </w:rPr>
        <w:t>revenues</w:t>
      </w:r>
    </w:p>
    <w:p w14:paraId="3812EB8E" w14:textId="77777777" w:rsidR="00C533EA" w:rsidRPr="00FD3642" w:rsidRDefault="00C533EA" w:rsidP="00FD3642">
      <w:pPr>
        <w:spacing w:after="120" w:line="276" w:lineRule="auto"/>
        <w:ind w:firstLine="709"/>
        <w:jc w:val="center"/>
        <w:rPr>
          <w:rFonts w:ascii="Times New Roman" w:hAnsi="Times New Roman" w:cs="Times New Roman"/>
          <w:b/>
          <w:sz w:val="24"/>
          <w:szCs w:val="24"/>
        </w:rPr>
      </w:pPr>
      <w:r w:rsidRPr="00FD3642">
        <w:rPr>
          <w:rStyle w:val="MaviChar"/>
          <w:color w:val="auto"/>
          <w:u w:val="none"/>
        </w:rPr>
        <w:t xml:space="preserve"> </w:t>
      </w:r>
    </w:p>
    <w:p w14:paraId="48E38226" w14:textId="77777777" w:rsidR="00522D99" w:rsidRPr="00FD3642" w:rsidRDefault="00522D99"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Revolving Fund and Revenues</w:t>
      </w:r>
    </w:p>
    <w:p w14:paraId="5B04C44B" w14:textId="77777777" w:rsidR="00D249C9" w:rsidRPr="00FD3642" w:rsidRDefault="00522D99" w:rsidP="00FD3642">
      <w:pPr>
        <w:spacing w:after="120" w:line="276" w:lineRule="auto"/>
        <w:ind w:firstLine="709"/>
        <w:jc w:val="both"/>
        <w:rPr>
          <w:rFonts w:ascii="Times New Roman" w:eastAsia="Times New Roman" w:hAnsi="Times New Roman" w:cs="Times New Roman"/>
          <w:color w:val="000000"/>
          <w:sz w:val="24"/>
          <w:szCs w:val="24"/>
          <w:lang w:eastAsia="tr-TR"/>
        </w:rPr>
      </w:pPr>
      <w:r w:rsidRPr="00FD3642">
        <w:rPr>
          <w:rFonts w:ascii="Times New Roman" w:hAnsi="Times New Roman" w:cs="Times New Roman"/>
          <w:b/>
          <w:sz w:val="24"/>
          <w:szCs w:val="24"/>
        </w:rPr>
        <w:t>ARTICLE 9-</w:t>
      </w:r>
      <w:r w:rsidR="00D249C9" w:rsidRPr="00FD3642">
        <w:rPr>
          <w:rFonts w:ascii="Times New Roman" w:hAnsi="Times New Roman" w:cs="Times New Roman"/>
          <w:sz w:val="24"/>
          <w:szCs w:val="24"/>
        </w:rPr>
        <w:t>(one)</w:t>
      </w:r>
      <w:r w:rsidR="00D249C9" w:rsidRPr="00FD3642">
        <w:rPr>
          <w:rFonts w:ascii="Times New Roman" w:eastAsia="Times New Roman" w:hAnsi="Times New Roman" w:cs="Times New Roman"/>
          <w:color w:val="000000"/>
          <w:sz w:val="24"/>
          <w:szCs w:val="24"/>
          <w:lang w:eastAsia="tr-TR"/>
        </w:rPr>
        <w:t>The Presidency is authorized to establish a revolving fund. The amount of revolving fund is determined by the Presidency.</w:t>
      </w:r>
    </w:p>
    <w:p w14:paraId="60EB5EF0" w14:textId="7777777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sidDel="00AD34DE">
        <w:rPr>
          <w:rFonts w:ascii="Times New Roman" w:hAnsi="Times New Roman" w:cs="Times New Roman"/>
          <w:sz w:val="24"/>
          <w:szCs w:val="24"/>
        </w:rPr>
        <w:t>(2) Revenues to meet the expenses related to the studies to be carried out pursuant to this Law and to be used in activities related to combating climate change;</w:t>
      </w:r>
    </w:p>
    <w:p w14:paraId="40A61A65"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From the income allocated to the budget of the Presidency from the administrative fines applied in accordance with the Law No. 2872 due to the failure to fulfill the obligations within the scope of this Law;</w:t>
      </w:r>
    </w:p>
    <w:p w14:paraId="3F4F5C2C" w14:textId="77777777" w:rsidR="00522D99" w:rsidRPr="00FD3642" w:rsidRDefault="00DA57CB"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Less than 50% of the amount to be obtained by transferring all of the auction revenues to be transferred by the Market Operator in two times, until the end of June and December each year, and 50% of the revenue from commission transactions in the secondary market, to the general budget within the scope of the Emissions Trading System. from the revenue allocated to the Presidency budget,</w:t>
      </w:r>
    </w:p>
    <w:p w14:paraId="628FE8C3" w14:textId="77777777" w:rsidR="00522D99"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c) Revenues to be obtained from the works, processes and practices carried out in relation to </w:t>
      </w:r>
      <w:r w:rsidRPr="00FD3642">
        <w:rPr>
          <w:rFonts w:ascii="Times New Roman" w:hAnsi="Times New Roman" w:cs="Times New Roman"/>
          <w:sz w:val="24"/>
          <w:szCs w:val="24"/>
        </w:rPr>
        <w:lastRenderedPageBreak/>
        <w:t>the equipment containing or operating greenhouse gases, substances that deplete the ozone layer, fluorinated greenhouse gases and fluorinated greenhouse gases,</w:t>
      </w:r>
    </w:p>
    <w:p w14:paraId="45E16671" w14:textId="77777777" w:rsidR="00285462"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ç) Revenues to be obtained within the scope of obtaining a greenhouse gas emission permit from the Presidency,</w:t>
      </w:r>
    </w:p>
    <w:p w14:paraId="7323E293" w14:textId="77777777" w:rsidR="00522D99" w:rsidRPr="00FD3642" w:rsidRDefault="009A7AB6"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d) From the amount corresponding to 1% of the sales in the national market and 2% of the sales in the foreign markets of the credit value of each project registered in the national registration system regarding the offsetting application,</w:t>
      </w:r>
    </w:p>
    <w:p w14:paraId="42B82653" w14:textId="7777777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e) Up to xx% of the amount collected from the monthly gross revenue of the Ministry's Revolving Fund, from the amount that will be deemed appropriate by the Ministry,</w:t>
      </w:r>
    </w:p>
    <w:p w14:paraId="2DA320FC" w14:textId="7777777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f) All kinds of conditional or unconditional donations,</w:t>
      </w:r>
    </w:p>
    <w:p w14:paraId="66352D6D" w14:textId="7777777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g) From foreign income,</w:t>
      </w:r>
    </w:p>
    <w:p w14:paraId="211C8C2F" w14:textId="77777777" w:rsidR="00522D9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ğ) From aids and other incomes,</w:t>
      </w:r>
    </w:p>
    <w:p w14:paraId="5F3ABBE4"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occurs.</w:t>
      </w:r>
    </w:p>
    <w:p w14:paraId="6B470B58" w14:textId="77777777" w:rsidR="00AD34DE"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From the incomes specified in the second paragraph, the incomes included in the subparagraphs (a), (b), (f), (g), (ğ); It is deposited into the account of the Presidency Central Accounting Office and revenue is recorded in the budget. Within the framework of the principles set forth in Article 10, an appropriation not less than 80% is allocated to the Presidency's budget to be used in the works and processes to be carried out within the scope of combating and adapting to climate change.</w:t>
      </w:r>
    </w:p>
    <w:p w14:paraId="1F8B0FEE" w14:textId="77777777" w:rsidR="00D249C9" w:rsidRPr="00FD3642" w:rsidRDefault="00D249C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From the incomes specified in the second paragraph, the incomes included in the subparagraphs (c), (ç), (d), (e); It is deposited into the relevant accounts of the revolving fund directorate of the Presidency. All of the deposited fees are recorded as income in the budget of the Presidency revolving fund management.</w:t>
      </w:r>
    </w:p>
    <w:p w14:paraId="34EED2BC"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Papers prepared regarding the transactions made in the emission trading system within the scope of this Law are exempt from stamp tax.</w:t>
      </w:r>
    </w:p>
    <w:p w14:paraId="491755C1" w14:textId="77777777" w:rsidR="00522D99"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The principles regarding the fees and commissions to be collected due to the activities of the Market Operator, the Central Clearing House and the Central Registry Agency within the scope of the emission trading system, as well as the time and manner of collection thereof, are determined by the Capital Markets Board.</w:t>
      </w:r>
    </w:p>
    <w:p w14:paraId="1F41B6B1" w14:textId="77777777" w:rsidR="00522D99" w:rsidRPr="00FD3642" w:rsidRDefault="00522D9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(7) The fields of activity, operation, supervision and implementation principles of the revolving fund shall be regulated by the Presidency with a regulation.</w:t>
      </w:r>
    </w:p>
    <w:p w14:paraId="370A5528" w14:textId="77777777" w:rsidR="00522D99" w:rsidRPr="00FD3642" w:rsidRDefault="00522D99"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Use and transfer of income</w:t>
      </w:r>
    </w:p>
    <w:p w14:paraId="2271A37E" w14:textId="77777777" w:rsidR="00347750" w:rsidRPr="00FD3642" w:rsidRDefault="00522D99"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10-</w:t>
      </w:r>
      <w:r w:rsidRPr="00FD3642">
        <w:rPr>
          <w:rFonts w:ascii="Times New Roman" w:hAnsi="Times New Roman" w:cs="Times New Roman"/>
          <w:sz w:val="24"/>
          <w:szCs w:val="24"/>
        </w:rPr>
        <w:t>(1) In the distribution of revenues from the Emissions Trading System, supporting climate-friendly investments with high adaptation or reduction potential that support the green transformation of our country and contribute to meeting the innovation and sectoral technological transformation required by green growth are taken into consideration. The President of the Republic is authorized to record the parts of the said revenues that are not spent during the year from the amounts recorded as appropriations, to the next year's budgets as income and appropriations.</w:t>
      </w:r>
    </w:p>
    <w:p w14:paraId="7C99E8F1" w14:textId="77777777" w:rsidR="0039355B" w:rsidRPr="00FD3642" w:rsidRDefault="00E66DF5"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(2) Revenues obtained under this Law; It is used to make/encourage or encourage climate-friendly investments, to support insurance transactions in order to reduce the risk perception and </w:t>
      </w:r>
      <w:r w:rsidRPr="00FD3642">
        <w:rPr>
          <w:rFonts w:ascii="Times New Roman" w:hAnsi="Times New Roman" w:cs="Times New Roman"/>
          <w:sz w:val="24"/>
          <w:szCs w:val="24"/>
        </w:rPr>
        <w:lastRenderedPageBreak/>
        <w:t>borrowing costs of climate investments, to provide guarantees, to develop financial instruments that can also provide grants and interest support, and to support their implementation.</w:t>
      </w:r>
    </w:p>
    <w:p w14:paraId="378A7364" w14:textId="77777777" w:rsidR="0037718B" w:rsidRPr="00FD3642" w:rsidRDefault="0037718B"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The procedures and principles regarding the implementation of this article are determined by the Presidency, taking the opinion of the Strategy and Budget Presidency and the relevant Ministries.</w:t>
      </w:r>
      <w:r w:rsidRPr="00FD3642">
        <w:rPr>
          <w:rFonts w:ascii="Times New Roman" w:hAnsi="Times New Roman" w:cs="Times New Roman"/>
          <w:color w:val="FF0000"/>
          <w:sz w:val="24"/>
          <w:szCs w:val="24"/>
        </w:rPr>
        <w:t>.</w:t>
      </w:r>
    </w:p>
    <w:p w14:paraId="55799752" w14:textId="77777777" w:rsidR="0037718B" w:rsidRPr="00FD3642" w:rsidRDefault="0037718B" w:rsidP="00FD3642">
      <w:pPr>
        <w:widowControl w:val="0"/>
        <w:spacing w:after="120" w:line="276" w:lineRule="auto"/>
        <w:ind w:firstLine="709"/>
        <w:jc w:val="both"/>
        <w:rPr>
          <w:rFonts w:ascii="Times New Roman" w:hAnsi="Times New Roman" w:cs="Times New Roman"/>
          <w:sz w:val="24"/>
          <w:szCs w:val="24"/>
        </w:rPr>
      </w:pPr>
    </w:p>
    <w:p w14:paraId="34AF1662" w14:textId="77777777" w:rsidR="00F05175" w:rsidRPr="00FD3642" w:rsidRDefault="002E75C0"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CHAPTER FIVE</w:t>
      </w:r>
    </w:p>
    <w:p w14:paraId="3BFA6F2A" w14:textId="77777777" w:rsidR="00F05175" w:rsidRPr="00FD3642" w:rsidRDefault="00366E8B" w:rsidP="00FD3642">
      <w:pPr>
        <w:spacing w:after="120" w:line="276" w:lineRule="auto"/>
        <w:ind w:firstLine="709"/>
        <w:jc w:val="center"/>
        <w:rPr>
          <w:rFonts w:ascii="Times New Roman" w:hAnsi="Times New Roman" w:cs="Times New Roman"/>
          <w:b/>
          <w:sz w:val="24"/>
          <w:szCs w:val="24"/>
        </w:rPr>
      </w:pPr>
      <w:r w:rsidRPr="00FD3642">
        <w:rPr>
          <w:rFonts w:ascii="Times New Roman" w:hAnsi="Times New Roman" w:cs="Times New Roman"/>
          <w:b/>
          <w:sz w:val="24"/>
          <w:szCs w:val="24"/>
        </w:rPr>
        <w:t>Audit, Miscellaneous and Final Provisions</w:t>
      </w:r>
    </w:p>
    <w:p w14:paraId="118775A1" w14:textId="77777777" w:rsidR="00764B07" w:rsidRPr="00FD3642" w:rsidRDefault="00764B07" w:rsidP="00FD3642">
      <w:pPr>
        <w:spacing w:after="120" w:line="276" w:lineRule="auto"/>
        <w:ind w:firstLine="709"/>
        <w:jc w:val="center"/>
        <w:rPr>
          <w:rFonts w:ascii="Times New Roman" w:hAnsi="Times New Roman" w:cs="Times New Roman"/>
          <w:b/>
          <w:sz w:val="24"/>
          <w:szCs w:val="24"/>
        </w:rPr>
      </w:pPr>
    </w:p>
    <w:p w14:paraId="14B84D06" w14:textId="77777777" w:rsidR="000B0B2E" w:rsidRPr="00FD3642" w:rsidRDefault="000B0B2E"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Audit</w:t>
      </w:r>
    </w:p>
    <w:p w14:paraId="7D6FA71C" w14:textId="77777777"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11-</w:t>
      </w:r>
      <w:r w:rsidR="005312EB" w:rsidRPr="00FD3642">
        <w:rPr>
          <w:rFonts w:ascii="Times New Roman" w:hAnsi="Times New Roman" w:cs="Times New Roman"/>
          <w:sz w:val="24"/>
          <w:szCs w:val="24"/>
        </w:rPr>
        <w:t>(1) The Ministry has the authority to supervise whether the provisions of this Law are complied with. When necessary, this authority is transferred to the Presidency.</w:t>
      </w:r>
    </w:p>
    <w:p w14:paraId="3F6AC566" w14:textId="77777777"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Lawsuits to be filed against the administrative sanction decisions to be applied pursuant to the Law No. 2872 arising from the non-fulfillment of the obligations set forth in this Law shall be filed against the Ministry.</w:t>
      </w:r>
    </w:p>
    <w:p w14:paraId="7E23A701" w14:textId="77777777" w:rsidR="000B0B2E" w:rsidRPr="00FD3642" w:rsidRDefault="000B0B2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Confidentiality of data, information and documents submitted within the scope of information submission and documentation obligations, except for the cases clearly stated in this Law. In case of violation of this provision, Article 18 of the Law on the Protection of Personal Data No. 6698 dated 24/3/2016 and Article 239 of the Law No. 5237 shall apply.</w:t>
      </w:r>
    </w:p>
    <w:p w14:paraId="38CAC01C" w14:textId="77777777" w:rsidR="000B0B2E" w:rsidRPr="00FD3642" w:rsidRDefault="000B0B2E"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(4) In cases where there is no provision in this Law, the relevant provisions of the Law No. 2872, Law No. 6362 and other Laws shall apply.</w:t>
      </w:r>
    </w:p>
    <w:p w14:paraId="5538B7A1" w14:textId="77777777" w:rsidR="00F05175" w:rsidRPr="00FD3642" w:rsidRDefault="00F05175" w:rsidP="00FD3642">
      <w:pPr>
        <w:widowControl w:val="0"/>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provincial organization</w:t>
      </w:r>
    </w:p>
    <w:p w14:paraId="7BE983EF"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12-</w:t>
      </w:r>
      <w:r w:rsidRPr="00FD3642">
        <w:rPr>
          <w:rFonts w:ascii="Times New Roman" w:hAnsi="Times New Roman" w:cs="Times New Roman"/>
          <w:sz w:val="24"/>
          <w:szCs w:val="24"/>
        </w:rPr>
        <w:t>(1) The Presidency is authorized to establish a provincial organization within the framework of the provisions of the relevant legislation.</w:t>
      </w:r>
    </w:p>
    <w:p w14:paraId="48776FF8" w14:textId="77777777" w:rsidR="00F05175" w:rsidRPr="00FD3642" w:rsidRDefault="00F05175"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Regulatory actions and miscellaneous provisions</w:t>
      </w:r>
    </w:p>
    <w:p w14:paraId="290F5895"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13-</w:t>
      </w:r>
      <w:r w:rsidRPr="00FD3642">
        <w:rPr>
          <w:rFonts w:ascii="Times New Roman" w:hAnsi="Times New Roman" w:cs="Times New Roman"/>
          <w:sz w:val="24"/>
          <w:szCs w:val="24"/>
        </w:rPr>
        <w:t>(1) Unless the law provides otherwise, the procedures and principles regarding the implementation of this Law are determined by the Presidency.</w:t>
      </w:r>
    </w:p>
    <w:p w14:paraId="4CC61DA7" w14:textId="77777777" w:rsidR="00F05175" w:rsidRPr="00FD3642" w:rsidRDefault="00F05175" w:rsidP="00FD3642">
      <w:pPr>
        <w:widowControl w:val="0"/>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(2) An attendance fee is paid to the chairman and members of the Carbon Market Board, which was established under this Law and whose working procedures and principles are determined by the Presidency, over the amount to be found by multiplying the indicator number (30.000) with the monthly coefficient of civil servants for the meetings held.</w:t>
      </w:r>
    </w:p>
    <w:p w14:paraId="676C5B1E" w14:textId="77777777" w:rsidR="00F05175" w:rsidRPr="00FD3642" w:rsidRDefault="00F05175" w:rsidP="00FD3642">
      <w:pPr>
        <w:spacing w:after="120" w:line="276" w:lineRule="auto"/>
        <w:ind w:firstLine="709"/>
        <w:jc w:val="both"/>
        <w:rPr>
          <w:rFonts w:ascii="Times New Roman" w:eastAsia="Times New Roman" w:hAnsi="Times New Roman" w:cs="Times New Roman"/>
          <w:b/>
          <w:sz w:val="24"/>
          <w:szCs w:val="24"/>
        </w:rPr>
      </w:pPr>
      <w:r w:rsidRPr="00FD3642">
        <w:rPr>
          <w:rFonts w:ascii="Times New Roman" w:eastAsia="Times New Roman" w:hAnsi="Times New Roman" w:cs="Times New Roman"/>
          <w:b/>
          <w:sz w:val="24"/>
          <w:szCs w:val="24"/>
        </w:rPr>
        <w:t>Amended and repealed provisions</w:t>
      </w:r>
    </w:p>
    <w:p w14:paraId="42F08ABB" w14:textId="77777777" w:rsidR="00C8646E"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b/>
          <w:sz w:val="24"/>
          <w:szCs w:val="24"/>
        </w:rPr>
        <w:t>ARTICLE 14-</w:t>
      </w:r>
      <w:r w:rsidRPr="00FD3642">
        <w:rPr>
          <w:rFonts w:ascii="Times New Roman" w:eastAsia="Times New Roman" w:hAnsi="Times New Roman" w:cs="Times New Roman"/>
          <w:sz w:val="24"/>
          <w:szCs w:val="24"/>
        </w:rPr>
        <w:t>(1) The Law on Civil Servants dated 14/7/1965 and numbered 657;</w:t>
      </w:r>
    </w:p>
    <w:p w14:paraId="2106F2F0"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a) “Assistant Environment and Urbanization Experts” phrase to come after the phrase “Assistant Environment and Urbanization Experts” in subparagraph (11) of paragraph (A) of the section titled “Common Provisions” of Article 36, and the phrase “Assistant Climate Change Experts” to come after the phrase “Environmental and Urban Planning Expertise” The phrase “Climate Change Expertise” has been added.</w:t>
      </w:r>
    </w:p>
    <w:p w14:paraId="22A2B436"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lastRenderedPageBreak/>
        <w:t>b) The phrase “Climate Change Experts” has been added after the phrase “Environmental and Urban Planning Experts” to the subparagraph (ğ) of the “A- Special Service Compensation” section of the “II- Compensations” section of Article 152.</w:t>
      </w:r>
    </w:p>
    <w:p w14:paraId="56E838FB"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c) The phrase "Climate Change Experts" has been added after the phrase "Environmental and Urban Planning Experts" in subparagraph (g) of the "I- General Administrative Services Class" section of the Annex (I) Supplementary Indicator Chart.</w:t>
      </w:r>
    </w:p>
    <w:p w14:paraId="25DEEC52" w14:textId="77777777"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(2) Environmental Law No. 2872 dated 09/08/1983;</w:t>
      </w:r>
    </w:p>
    <w:p w14:paraId="741CD848"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a) The phrase “obligatory standards to be complied with” in subparagraph (h) of the first paragraph of Article 3 has been removed from the text of the article.</w:t>
      </w:r>
    </w:p>
    <w:p w14:paraId="11A241D6"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In the first paragraph of Article 12, “By the Ministry”; The phrase “To the Climate Change Presidency” has been added to come after the phrase.</w:t>
      </w:r>
    </w:p>
    <w:p w14:paraId="18C47600" w14:textId="77777777" w:rsidR="002E6581" w:rsidRPr="00FD3642" w:rsidRDefault="002E6581"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The following sub-clause has been added to come after the second sub-clause of the first paragraph of the article 20 (çç) and the following sub-clauses have been added after the (ii) sub-clause.</w:t>
      </w:r>
    </w:p>
    <w:p w14:paraId="43EFADE0" w14:textId="77777777" w:rsidR="002E6581" w:rsidRPr="00FD3642" w:rsidRDefault="002E6581" w:rsidP="00FD3642">
      <w:pPr>
        <w:widowControl w:val="0"/>
        <w:tabs>
          <w:tab w:val="left" w:pos="566"/>
        </w:tabs>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In case the verified greenhouse gas emission report is not submitted in a timely manner, transactions over the allowances in the accounts in the Transaction Recording System are blocked. With the submission of the verified GHG emission report, the account is unblocked. Removing the ban on the accounts with the submission of the report does not constitute an obstacle to the application of the administrative fine.</w:t>
      </w:r>
    </w:p>
    <w:p w14:paraId="5CEE35FA" w14:textId="77777777" w:rsidR="00F05175" w:rsidRPr="00FD3642" w:rsidRDefault="002E6581"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ii) Contrary to the procedures and principles, prohibitions or restrictions on Ozone Depleting Substances;</w:t>
      </w:r>
    </w:p>
    <w:p w14:paraId="39999C3A"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As of 2025, 320,000 Turkish Liras for those producing, processing, importing, exporting and placing on the market;</w:t>
      </w:r>
    </w:p>
    <w:p w14:paraId="550B1FD5"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32.000 Turkish Lira to real and legal persons who carry, provide maintenance, repair and service purposes.</w:t>
      </w:r>
    </w:p>
    <w:p w14:paraId="26D10227"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32.000 Turkish Lira for those who do not enter the notifications and reports into the database in due time or do not update the data,</w:t>
      </w:r>
    </w:p>
    <w:p w14:paraId="3B4C487E"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administrative fine is imposed.</w:t>
      </w:r>
    </w:p>
    <w:p w14:paraId="7885D7B2" w14:textId="77777777" w:rsidR="00F05175" w:rsidRPr="00FD3642" w:rsidRDefault="00D76809"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jj) Concerning the article/item containing fluorinated greenhouse gases and/or fluorinated greenhouse gases and the product and/or equipment whose operation depends on these substances, contrary to the procedures and principles, prohibitions or limitations regarding Fluorinated Greenhouse Gases;</w:t>
      </w:r>
    </w:p>
    <w:p w14:paraId="41B0C445"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320.000 Turkish Liras for those who import hydrofluorocarbons without quota and in quantities exceeding the quota,</w:t>
      </w:r>
    </w:p>
    <w:p w14:paraId="3566679B"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32.000 Turkish Liras for those who do not comply with the provisions of labeling of containers and products or equipment containing fluorinated greenhouse gases,</w:t>
      </w:r>
    </w:p>
    <w:p w14:paraId="34A1654C"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c) 32.000 Turkish Lira for those who do not enter their notifications and reports into the database or update the data in due time,</w:t>
      </w:r>
    </w:p>
    <w:p w14:paraId="2EB7F318" w14:textId="77777777" w:rsidR="002E6581"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administrative fine is imposed.</w:t>
      </w:r>
    </w:p>
    <w:p w14:paraId="61F5BB6E" w14:textId="77777777" w:rsidR="002E6581" w:rsidRPr="00FD3642" w:rsidRDefault="0058333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lastRenderedPageBreak/>
        <w:t>kk) Among those operating without a greenhouse gas emission permit or continuing their activities with an expired or revoked emission permit, 10 TL per each carbon dioxide equivalent emission amount included in the latest report for enterprises with a verified annual emission report, and 100,000 for enterprises without a verified annual emission report. An administrative fine of up to 5,000,000 Turkish Liras is imposed.</w:t>
      </w:r>
    </w:p>
    <w:p w14:paraId="2B245164" w14:textId="77777777" w:rsidR="002E6581" w:rsidRPr="00FD3642" w:rsidRDefault="0058333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ll) Those who do not register their offset projects are charged an administrative fine of 1 Turkish Lira per calculated carbon dioxide equivalent emission reduction value.</w:t>
      </w:r>
    </w:p>
    <w:p w14:paraId="2B53286B" w14:textId="77777777" w:rsidR="002E6581" w:rsidRPr="00FD3642" w:rsidRDefault="0058333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mm) Those who do not deliver sufficient allowances in violation of the prohibitions or limitations regarding the Emissions Trading System are subject to an administrative fine equal to 2 times the allowance price of the last business day of the year to which the greenhouse gas emission report belongs, for each undelivered allowance.</w:t>
      </w:r>
    </w:p>
    <w:p w14:paraId="30426877" w14:textId="77777777" w:rsidR="00F05175" w:rsidRPr="00FD3642" w:rsidRDefault="00583334"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nn) The greenhouse gas emission permit of the enterprises that do not fulfill their obligations to deliver their allowances within the scope of the Emissions Trading System for 2 consecutive years will be cancelled.”</w:t>
      </w:r>
    </w:p>
    <w:p w14:paraId="7EAE5DAA" w14:textId="77777777"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The Zoning Law No. 3194 dated 03/05/1985;</w:t>
      </w:r>
    </w:p>
    <w:p w14:paraId="024C4B0E"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a) The phrase "regional and local climate change action plans" has been added to the first paragraph of Article 5 to come after the phrase "to their plans", and the phrase "to regional and local climate change action plans" has been added to the phrase "to their strategies" in the fourteenth paragraph.</w:t>
      </w:r>
    </w:p>
    <w:p w14:paraId="43E81B26" w14:textId="77777777" w:rsidR="00F05175" w:rsidRPr="00FD3642" w:rsidRDefault="00F05175"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b) The phrase "regional and local climate change action plans" has been added to the second paragraph of Article 6, following the phrase "regional development strategies".</w:t>
      </w:r>
    </w:p>
    <w:p w14:paraId="3A664A16"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hAnsi="Times New Roman" w:cs="Times New Roman"/>
          <w:sz w:val="24"/>
          <w:szCs w:val="24"/>
        </w:rPr>
        <w:t>c)</w:t>
      </w:r>
      <w:r w:rsidRPr="00FD3642">
        <w:rPr>
          <w:rFonts w:ascii="Times New Roman" w:eastAsia="Times New Roman" w:hAnsi="Times New Roman" w:cs="Times New Roman"/>
          <w:sz w:val="24"/>
          <w:szCs w:val="24"/>
        </w:rPr>
        <w:t>The phrase "and regional and local climate change action plans" has been added to subparagraph (b) of the first paragraph of Article 8, following the phrase "regional plan and environmental plan resolutions, if available".</w:t>
      </w:r>
    </w:p>
    <w:p w14:paraId="01351134" w14:textId="77777777"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(4) The following paragraph and the following sentence have been added to the second paragraph of the Organized Industrial Zones Law dated 12/4/2000 and numbered 4562, following the first paragraph of Article 20.</w:t>
      </w:r>
    </w:p>
    <w:p w14:paraId="6BE197E2" w14:textId="77777777" w:rsidR="000224D3" w:rsidRPr="00FD3642" w:rsidRDefault="000224D3"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“OIZs will meet at least 10% of their energy consumption from these systems by establishing renewable energy systems.”</w:t>
      </w:r>
    </w:p>
    <w:p w14:paraId="488CA872" w14:textId="77777777" w:rsidR="000224D3" w:rsidRPr="00FD3642" w:rsidRDefault="000224D3" w:rsidP="00FD3642">
      <w:pPr>
        <w:spacing w:after="120" w:line="276" w:lineRule="auto"/>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“It is obligatory to establish systems for the management of wastes generated in the OIZ area with the principle of circular economy.”</w:t>
      </w:r>
    </w:p>
    <w:p w14:paraId="5726FFA5" w14:textId="77777777"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(5) The following paragraph has been added to the first paragraph of article 7 of the Metropolitan Municipality Law dated 10/7/2004 and numbered 5216.</w:t>
      </w:r>
    </w:p>
    <w:p w14:paraId="0E2A3BCE" w14:textId="77777777" w:rsidR="00F05175" w:rsidRPr="00FD3642" w:rsidRDefault="00F05175" w:rsidP="00FD3642">
      <w:pPr>
        <w:spacing w:after="120" w:line="276" w:lineRule="auto"/>
        <w:ind w:firstLine="709"/>
        <w:jc w:val="both"/>
        <w:rPr>
          <w:rFonts w:ascii="Times New Roman" w:hAnsi="Times New Roman" w:cs="Times New Roman"/>
          <w:bCs/>
          <w:sz w:val="24"/>
          <w:szCs w:val="24"/>
        </w:rPr>
      </w:pPr>
      <w:r w:rsidRPr="00FD3642">
        <w:rPr>
          <w:rFonts w:ascii="Times New Roman" w:hAnsi="Times New Roman" w:cs="Times New Roman"/>
          <w:sz w:val="24"/>
          <w:szCs w:val="24"/>
        </w:rPr>
        <w:t>“bb) To prepare local climate change action plans in order to reduce greenhouse gas emissions and adapt to climate change.”</w:t>
      </w:r>
    </w:p>
    <w:p w14:paraId="0544FFAB" w14:textId="77777777"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(6) Preparing local climate change action plans in order to reduce greenhouse gas emissions and adapt to climate change, after the phrase "environment" in subparagraph (b) of the first paragraph of Article 6 of the Special Provincial Administration Law dated 22/2/2005 and numbered 5302. ” has been added.</w:t>
      </w:r>
    </w:p>
    <w:p w14:paraId="4310EE94" w14:textId="77777777"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 xml:space="preserve">(7) To implement local climate change action plans in order to reduce greenhouse gas emissions and adapt to climate change, following the phrase "environment and environmental health" </w:t>
      </w:r>
      <w:r w:rsidRPr="00FD3642">
        <w:rPr>
          <w:rFonts w:ascii="Times New Roman" w:hAnsi="Times New Roman" w:cs="Times New Roman"/>
          <w:sz w:val="24"/>
          <w:szCs w:val="24"/>
        </w:rPr>
        <w:lastRenderedPageBreak/>
        <w:t>in subparagraph (a) of the first paragraph of Article 14 of the Municipal Law dated 3/7/2005 and numbered 5393. preparation” has been added.</w:t>
      </w:r>
    </w:p>
    <w:p w14:paraId="7B9D8B17" w14:textId="77777777" w:rsidR="00F05175"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(8) Capital Market Law dated 6/12/2012 and numbered 6362;</w:t>
      </w:r>
    </w:p>
    <w:p w14:paraId="65EDDDB3"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a) The phrase "allocations in the emission trading system" has been added to the subparagraph (ç) of the first paragraph of Article 3, following the phrase "precious stones".</w:t>
      </w:r>
    </w:p>
    <w:p w14:paraId="715F0F0A" w14:textId="77777777" w:rsidR="00F05175" w:rsidRPr="00FD3642" w:rsidRDefault="00F05175"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b) In the fifth paragraph of Article 65, the phrase “and also within the scope of emissions trading” has been added after the phrase “in the legislation”.</w:t>
      </w:r>
    </w:p>
    <w:p w14:paraId="66D0EBDD" w14:textId="77777777" w:rsidR="00744019" w:rsidRPr="00FD3642" w:rsidRDefault="00744019" w:rsidP="00FD3642">
      <w:pPr>
        <w:spacing w:after="120" w:line="276" w:lineRule="auto"/>
        <w:ind w:firstLine="709"/>
        <w:jc w:val="both"/>
        <w:rPr>
          <w:rFonts w:ascii="Times New Roman" w:eastAsia="Times New Roman" w:hAnsi="Times New Roman" w:cs="Times New Roman"/>
          <w:sz w:val="24"/>
          <w:szCs w:val="24"/>
          <w:highlight w:val="yellow"/>
        </w:rPr>
      </w:pPr>
      <w:r w:rsidRPr="00FD3642">
        <w:rPr>
          <w:rFonts w:ascii="Times New Roman" w:eastAsia="Times New Roman" w:hAnsi="Times New Roman" w:cs="Times New Roman"/>
          <w:sz w:val="24"/>
          <w:szCs w:val="24"/>
        </w:rPr>
        <w:t>c) The following paragraph has been added to Article 138, following the second paragraph, and the other paragraphs have been supplemented accordingly.</w:t>
      </w:r>
    </w:p>
    <w:p w14:paraId="77F57997" w14:textId="77777777" w:rsidR="00744019" w:rsidRPr="00FD3642" w:rsidRDefault="00744019"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“(3) Borsa İstanbul Anonim Şirketi is obliged to carry out the activities to be carried out within the scope of the emission trading system specified in Article 65 of this Law within its powers”</w:t>
      </w:r>
    </w:p>
    <w:p w14:paraId="1F467CCF" w14:textId="77777777" w:rsidR="00F05175" w:rsidRPr="00FD3642" w:rsidRDefault="00C8646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(9) The terms “and emissions trading” in the eighth paragraph of Article 11 of the Electricity Market Law dated 14/3/2013 and numbered 6446, and the terms “and emissions trading” in the eleventh paragraph have been removed from the text of the article.</w:t>
      </w:r>
    </w:p>
    <w:p w14:paraId="6E2EDADA" w14:textId="77777777" w:rsidR="00C8646E" w:rsidRPr="00FD3642" w:rsidRDefault="00C8646E" w:rsidP="00FD3642">
      <w:pPr>
        <w:spacing w:after="120" w:line="276" w:lineRule="auto"/>
        <w:ind w:firstLine="709"/>
        <w:jc w:val="both"/>
        <w:rPr>
          <w:rFonts w:ascii="Times New Roman" w:eastAsia="Times New Roman" w:hAnsi="Times New Roman" w:cs="Times New Roman"/>
          <w:b/>
          <w:sz w:val="24"/>
          <w:szCs w:val="24"/>
        </w:rPr>
      </w:pPr>
      <w:r w:rsidRPr="00FD3642">
        <w:rPr>
          <w:rFonts w:ascii="Times New Roman" w:eastAsia="Times New Roman" w:hAnsi="Times New Roman" w:cs="Times New Roman"/>
          <w:b/>
          <w:sz w:val="24"/>
          <w:szCs w:val="24"/>
        </w:rPr>
        <w:t>Appointment as Specialist and Assistant Specialist</w:t>
      </w:r>
    </w:p>
    <w:p w14:paraId="168ECC3E"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b/>
          <w:sz w:val="24"/>
          <w:szCs w:val="24"/>
        </w:rPr>
        <w:t>ARTICLE 15-</w:t>
      </w:r>
      <w:r w:rsidRPr="00FD3642">
        <w:rPr>
          <w:rFonts w:ascii="Times New Roman" w:eastAsia="Times New Roman" w:hAnsi="Times New Roman" w:cs="Times New Roman"/>
          <w:sz w:val="24"/>
          <w:szCs w:val="24"/>
        </w:rPr>
        <w:t>(1) Among the personnel employed in the Climate Change Department or sent abroad to be employed on behalf of and on behalf of the Climate Change Presidency, within the scope of the Law on Requests to be Sent to Foreign Countries dated 8/4/1929 and numbered 1416, those who have completed their master's degree, Climate Change Assistant Expert Those who have completed their doctorate education are appointed to the Climate Change Specialist staff.</w:t>
      </w:r>
    </w:p>
    <w:p w14:paraId="7F3E217D" w14:textId="77777777" w:rsidR="00C8646E" w:rsidRPr="00FD3642" w:rsidRDefault="00C8646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sz w:val="24"/>
          <w:szCs w:val="24"/>
        </w:rPr>
        <w:t>(2) The provisions of this article are also applied to those sent abroad in accordance with Law No. 1416 to receive training in the field of climate change before 29/10/2021.</w:t>
      </w:r>
    </w:p>
    <w:p w14:paraId="0D97B6BE" w14:textId="77777777" w:rsidR="00F05175" w:rsidRPr="00FD3642" w:rsidRDefault="00F05175"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Transitional provisions</w:t>
      </w:r>
    </w:p>
    <w:p w14:paraId="104A5418" w14:textId="77777777" w:rsidR="00FE70A6" w:rsidRPr="00FD3642" w:rsidRDefault="00F05175" w:rsidP="00FD3642">
      <w:pPr>
        <w:spacing w:after="120" w:line="276" w:lineRule="auto"/>
        <w:ind w:firstLine="709"/>
        <w:jc w:val="both"/>
        <w:rPr>
          <w:rFonts w:ascii="Times New Roman" w:hAnsi="Times New Roman" w:cs="Times New Roman"/>
          <w:color w:val="000000"/>
          <w:sz w:val="24"/>
          <w:szCs w:val="24"/>
        </w:rPr>
      </w:pPr>
      <w:r w:rsidRPr="00FD3642">
        <w:rPr>
          <w:rFonts w:ascii="Times New Roman" w:hAnsi="Times New Roman" w:cs="Times New Roman"/>
          <w:b/>
          <w:sz w:val="24"/>
          <w:szCs w:val="24"/>
        </w:rPr>
        <w:t>PROVISIONAL ARTICLE 1-</w:t>
      </w:r>
      <w:r w:rsidR="00FE70A6" w:rsidRPr="00FD3642">
        <w:rPr>
          <w:rFonts w:ascii="Times New Roman" w:hAnsi="Times New Roman" w:cs="Times New Roman"/>
          <w:sz w:val="24"/>
          <w:szCs w:val="24"/>
        </w:rPr>
        <w:t>(one)</w:t>
      </w:r>
      <w:r w:rsidR="00FE70A6" w:rsidRPr="00FD3642">
        <w:rPr>
          <w:rFonts w:ascii="Times New Roman" w:hAnsi="Times New Roman" w:cs="Times New Roman"/>
          <w:color w:val="000000"/>
          <w:sz w:val="24"/>
          <w:szCs w:val="24"/>
        </w:rPr>
        <w:t>Before the Emissions Trading System is fully implemented, a pilot implementation period is implemented. The scope and duration of the pilot implementation period and the procedures and principles regarding the implementation are determined by the Presidency by taking the opinions of the relevant institutions, organizations and non-governmental organizations. During the pilot implementation period, administrative fines established pursuant to Law No. 2872 due to non-fulfillment of the obligations set forth in this Law are applied by reducing 50%.</w:t>
      </w:r>
    </w:p>
    <w:p w14:paraId="0E88D19F" w14:textId="77777777" w:rsidR="00FE70A6" w:rsidRPr="00FD3642" w:rsidRDefault="00E766E7" w:rsidP="00FD3642">
      <w:pPr>
        <w:pStyle w:val="NormalWeb"/>
        <w:spacing w:after="120" w:line="276" w:lineRule="auto"/>
        <w:ind w:firstLine="709"/>
        <w:jc w:val="both"/>
        <w:rPr>
          <w:color w:val="000000"/>
        </w:rPr>
      </w:pPr>
      <w:r w:rsidRPr="00FD3642">
        <w:t>(2) The enterprises that will be included in the scope of the Emissions Trading System within 3 years from the effective date of this Law must obtain a greenhouse gas emission permit. Within a three-year period, the enterprises; It is assumed that they have a one-time greenhouse gas emission permit in order to continue their activities under the ETS.</w:t>
      </w:r>
    </w:p>
    <w:p w14:paraId="31DE7D61" w14:textId="77777777" w:rsidR="000A7D9B" w:rsidRPr="00FD3642" w:rsidRDefault="00E766E7"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sz w:val="24"/>
          <w:szCs w:val="24"/>
        </w:rPr>
        <w:t>(3) The scope of the transition period and the procedures and principles regarding the implementation are determined by the Presidency by taking the opinions of the relevant institutions, organizations and non-governmental organizations.</w:t>
      </w:r>
    </w:p>
    <w:p w14:paraId="3F7CCA0E" w14:textId="77777777" w:rsidR="00332382" w:rsidRPr="00FD3642" w:rsidRDefault="009828E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PROVISIONAL ARTICLE 2-</w:t>
      </w:r>
      <w:r w:rsidRPr="00FD3642">
        <w:rPr>
          <w:rFonts w:ascii="Times New Roman" w:hAnsi="Times New Roman" w:cs="Times New Roman"/>
          <w:sz w:val="24"/>
          <w:szCs w:val="24"/>
        </w:rPr>
        <w:t xml:space="preserve">(1) The preparation and adaptation obligations regarding the planning tools specified in the second paragraph of Article 4 and the third paragraph of Article 5 of this Law shall be fulfilled by the relevant institutions until 31/12/2023 at the latest. If deemed </w:t>
      </w:r>
      <w:r w:rsidRPr="00FD3642">
        <w:rPr>
          <w:rFonts w:ascii="Times New Roman" w:hAnsi="Times New Roman" w:cs="Times New Roman"/>
          <w:sz w:val="24"/>
          <w:szCs w:val="24"/>
        </w:rPr>
        <w:lastRenderedPageBreak/>
        <w:t>necessary, the Ministry; is authorized to extend the period in this article up to one year from the expiry date.</w:t>
      </w:r>
    </w:p>
    <w:p w14:paraId="3160506E" w14:textId="77777777" w:rsidR="000A7D9B" w:rsidRPr="00FD3642" w:rsidRDefault="009828E0"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PROVISIONAL ARTICLE 3-</w:t>
      </w:r>
      <w:r w:rsidRPr="00FD3642">
        <w:rPr>
          <w:rFonts w:ascii="Times New Roman" w:hAnsi="Times New Roman" w:cs="Times New Roman"/>
          <w:sz w:val="24"/>
          <w:szCs w:val="24"/>
        </w:rPr>
        <w:t>(1) Local Climate Change Action Plans specified in subparagraph (b) of the first paragraph of Article 6 of this Law shall be prepared until 31/12/2023 at the latest. If deemed necessary, the Ministry; is authorized to extend the period in this article up to one year from the expiry date.</w:t>
      </w:r>
    </w:p>
    <w:p w14:paraId="56FA6187" w14:textId="77777777" w:rsidR="00D638FE" w:rsidRPr="00FD3642" w:rsidRDefault="00D638FE"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Force</w:t>
      </w:r>
    </w:p>
    <w:p w14:paraId="5E7C6284" w14:textId="77777777" w:rsidR="00D638FE" w:rsidRPr="00FD3642" w:rsidRDefault="00D638FE" w:rsidP="00FD3642">
      <w:pPr>
        <w:spacing w:after="120" w:line="276" w:lineRule="auto"/>
        <w:ind w:firstLine="709"/>
        <w:jc w:val="both"/>
        <w:rPr>
          <w:rFonts w:ascii="Times New Roman" w:eastAsia="Times New Roman" w:hAnsi="Times New Roman" w:cs="Times New Roman"/>
          <w:sz w:val="24"/>
          <w:szCs w:val="24"/>
        </w:rPr>
      </w:pPr>
      <w:r w:rsidRPr="00FD3642">
        <w:rPr>
          <w:rFonts w:ascii="Times New Roman" w:eastAsia="Times New Roman" w:hAnsi="Times New Roman" w:cs="Times New Roman"/>
          <w:b/>
          <w:sz w:val="24"/>
          <w:szCs w:val="24"/>
        </w:rPr>
        <w:t>ARTICLE 16-</w:t>
      </w:r>
      <w:r w:rsidRPr="00FD3642">
        <w:rPr>
          <w:rFonts w:ascii="Times New Roman" w:eastAsia="Times New Roman" w:hAnsi="Times New Roman" w:cs="Times New Roman"/>
          <w:sz w:val="24"/>
          <w:szCs w:val="24"/>
        </w:rPr>
        <w:t>(1) This Law shall enter into force on the date of its publication.</w:t>
      </w:r>
    </w:p>
    <w:p w14:paraId="64DC4010" w14:textId="77777777" w:rsidR="00D638FE" w:rsidRPr="00FD3642" w:rsidRDefault="00D638FE" w:rsidP="00FD3642">
      <w:pPr>
        <w:spacing w:after="120" w:line="276" w:lineRule="auto"/>
        <w:ind w:firstLine="709"/>
        <w:jc w:val="both"/>
        <w:rPr>
          <w:rFonts w:ascii="Times New Roman" w:hAnsi="Times New Roman" w:cs="Times New Roman"/>
          <w:b/>
          <w:sz w:val="24"/>
          <w:szCs w:val="24"/>
        </w:rPr>
      </w:pPr>
      <w:r w:rsidRPr="00FD3642">
        <w:rPr>
          <w:rFonts w:ascii="Times New Roman" w:hAnsi="Times New Roman" w:cs="Times New Roman"/>
          <w:b/>
          <w:sz w:val="24"/>
          <w:szCs w:val="24"/>
        </w:rPr>
        <w:t>Executive</w:t>
      </w:r>
    </w:p>
    <w:p w14:paraId="7092850B" w14:textId="77777777" w:rsidR="00D638FE" w:rsidRPr="00FD3642" w:rsidRDefault="00D638FE" w:rsidP="00FD3642">
      <w:pPr>
        <w:spacing w:after="120" w:line="276" w:lineRule="auto"/>
        <w:ind w:firstLine="709"/>
        <w:jc w:val="both"/>
        <w:rPr>
          <w:rFonts w:ascii="Times New Roman" w:hAnsi="Times New Roman" w:cs="Times New Roman"/>
          <w:sz w:val="24"/>
          <w:szCs w:val="24"/>
        </w:rPr>
      </w:pPr>
      <w:r w:rsidRPr="00FD3642">
        <w:rPr>
          <w:rFonts w:ascii="Times New Roman" w:hAnsi="Times New Roman" w:cs="Times New Roman"/>
          <w:b/>
          <w:sz w:val="24"/>
          <w:szCs w:val="24"/>
        </w:rPr>
        <w:t>ARTICLE 17-</w:t>
      </w:r>
      <w:r w:rsidRPr="00FD3642">
        <w:rPr>
          <w:rFonts w:ascii="Times New Roman" w:hAnsi="Times New Roman" w:cs="Times New Roman"/>
          <w:sz w:val="24"/>
          <w:szCs w:val="24"/>
        </w:rPr>
        <w:t>(1) The provisions of this Law are executed by the President.</w:t>
      </w:r>
    </w:p>
    <w:p w14:paraId="4006F207" w14:textId="77777777" w:rsidR="00522D99" w:rsidRPr="00FD3642" w:rsidRDefault="00522D99" w:rsidP="00FD3642">
      <w:pPr>
        <w:spacing w:after="120" w:line="276" w:lineRule="auto"/>
        <w:ind w:firstLine="709"/>
        <w:jc w:val="both"/>
        <w:rPr>
          <w:rFonts w:ascii="Times New Roman" w:hAnsi="Times New Roman" w:cs="Times New Roman"/>
          <w:sz w:val="24"/>
          <w:szCs w:val="24"/>
        </w:rPr>
      </w:pPr>
    </w:p>
    <w:sectPr w:rsidR="00522D99" w:rsidRPr="00FD3642" w:rsidSect="00A15899">
      <w:headerReference w:type="even" r:id="rId8"/>
      <w:headerReference w:type="default" r:id="rId9"/>
      <w:headerReference w:type="first" r:id="rId10"/>
      <w:pgSz w:w="11906" w:h="16838"/>
      <w:pgMar w:top="1135" w:right="1133"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6C9AF" w14:textId="77777777" w:rsidR="003316F1" w:rsidRDefault="003316F1" w:rsidP="001B214A">
      <w:pPr>
        <w:spacing w:after="0" w:line="240" w:lineRule="auto"/>
      </w:pPr>
      <w:r>
        <w:separator/>
      </w:r>
    </w:p>
  </w:endnote>
  <w:endnote w:type="continuationSeparator" w:id="0">
    <w:p w14:paraId="4B017EDC" w14:textId="77777777" w:rsidR="003316F1" w:rsidRDefault="003316F1" w:rsidP="001B2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B0305" w14:textId="77777777" w:rsidR="003316F1" w:rsidRDefault="003316F1" w:rsidP="001B214A">
      <w:pPr>
        <w:spacing w:after="0" w:line="240" w:lineRule="auto"/>
      </w:pPr>
      <w:r>
        <w:separator/>
      </w:r>
    </w:p>
  </w:footnote>
  <w:footnote w:type="continuationSeparator" w:id="0">
    <w:p w14:paraId="6EFE3210" w14:textId="77777777" w:rsidR="003316F1" w:rsidRDefault="003316F1" w:rsidP="001B21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EFB2C" w14:textId="77777777" w:rsidR="001B214A" w:rsidRDefault="00000000">
    <w:pPr>
      <w:pStyle w:val="Header"/>
    </w:pPr>
    <w:r>
      <w:rPr>
        <w:noProof/>
      </w:rPr>
      <w:pict w14:anchorId="60B0FE9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6" o:spid="_x0000_s1027" type="#_x0000_t136" style="position:absolute;margin-left:0;margin-top:0;width:543.6pt;height:135.9pt;rotation:315;z-index:-251655168;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C1C39" w14:textId="77777777" w:rsidR="001B214A" w:rsidRDefault="00000000">
    <w:pPr>
      <w:pStyle w:val="Header"/>
    </w:pPr>
    <w:r>
      <w:rPr>
        <w:noProof/>
      </w:rPr>
      <w:pict w14:anchorId="0123A0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7" o:spid="_x0000_s1028" type="#_x0000_t136" style="position:absolute;margin-left:0;margin-top:0;width:543.6pt;height:144.3pt;rotation:315;z-index:-251653120;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F6510" w14:textId="77777777" w:rsidR="001B214A" w:rsidRDefault="00000000">
    <w:pPr>
      <w:pStyle w:val="Header"/>
    </w:pPr>
    <w:r>
      <w:rPr>
        <w:noProof/>
      </w:rPr>
      <w:pict w14:anchorId="4ED5F5B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7341015" o:spid="_x0000_s1026" type="#_x0000_t136" style="position:absolute;margin-left:0;margin-top:0;width:543.6pt;height:135.9pt;rotation:315;z-index:-251657216;mso-position-horizontal:center;mso-position-horizontal-relative:margin;mso-position-vertical:center;mso-position-vertical-relative:margin" o:allowincell="f" fillcolor="silver" stroked="f">
          <v:fill opacity=".5"/>
          <v:textpath style="font-family:&quot;Calibri&quot;;font-size:1pt" string="GİZLİ-TASLA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05A8A"/>
    <w:multiLevelType w:val="hybridMultilevel"/>
    <w:tmpl w:val="F1969F24"/>
    <w:lvl w:ilvl="0" w:tplc="FAA64274">
      <w:start w:val="2"/>
      <w:numFmt w:val="decimal"/>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6CD04DD"/>
    <w:multiLevelType w:val="hybridMultilevel"/>
    <w:tmpl w:val="A52C0A7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72A69CD"/>
    <w:multiLevelType w:val="hybridMultilevel"/>
    <w:tmpl w:val="B6F68F6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6F4201F"/>
    <w:multiLevelType w:val="hybridMultilevel"/>
    <w:tmpl w:val="76FC25F8"/>
    <w:lvl w:ilvl="0" w:tplc="A468A37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 w15:restartNumberingAfterBreak="0">
    <w:nsid w:val="3C0D7DA2"/>
    <w:multiLevelType w:val="hybridMultilevel"/>
    <w:tmpl w:val="80189010"/>
    <w:lvl w:ilvl="0" w:tplc="351E183E">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5ABB0C8C"/>
    <w:multiLevelType w:val="hybridMultilevel"/>
    <w:tmpl w:val="49C45B34"/>
    <w:lvl w:ilvl="0" w:tplc="C89C7D02">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6" w15:restartNumberingAfterBreak="0">
    <w:nsid w:val="6CFB3679"/>
    <w:multiLevelType w:val="hybridMultilevel"/>
    <w:tmpl w:val="E50A4080"/>
    <w:lvl w:ilvl="0" w:tplc="1C3CABA2">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num w:numId="1" w16cid:durableId="687871321">
    <w:abstractNumId w:val="1"/>
  </w:num>
  <w:num w:numId="2" w16cid:durableId="1058359382">
    <w:abstractNumId w:val="2"/>
  </w:num>
  <w:num w:numId="3" w16cid:durableId="1085767364">
    <w:abstractNumId w:val="3"/>
  </w:num>
  <w:num w:numId="4" w16cid:durableId="100809732">
    <w:abstractNumId w:val="4"/>
  </w:num>
  <w:num w:numId="5" w16cid:durableId="111883780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6371682">
    <w:abstractNumId w:val="6"/>
  </w:num>
  <w:num w:numId="7" w16cid:durableId="1432582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3EA"/>
    <w:rsid w:val="000046B0"/>
    <w:rsid w:val="00010E57"/>
    <w:rsid w:val="000147E6"/>
    <w:rsid w:val="000224D3"/>
    <w:rsid w:val="00022AC8"/>
    <w:rsid w:val="0002427F"/>
    <w:rsid w:val="000262C2"/>
    <w:rsid w:val="00032900"/>
    <w:rsid w:val="00032B6C"/>
    <w:rsid w:val="00040802"/>
    <w:rsid w:val="00053EC7"/>
    <w:rsid w:val="00056F11"/>
    <w:rsid w:val="000605B4"/>
    <w:rsid w:val="00064598"/>
    <w:rsid w:val="00064A23"/>
    <w:rsid w:val="00064ACB"/>
    <w:rsid w:val="00065949"/>
    <w:rsid w:val="000770D8"/>
    <w:rsid w:val="00080669"/>
    <w:rsid w:val="000812C8"/>
    <w:rsid w:val="00083B74"/>
    <w:rsid w:val="0008406C"/>
    <w:rsid w:val="00084372"/>
    <w:rsid w:val="00084C8B"/>
    <w:rsid w:val="00086D9A"/>
    <w:rsid w:val="0009262D"/>
    <w:rsid w:val="00096148"/>
    <w:rsid w:val="000A0D8E"/>
    <w:rsid w:val="000A2EFC"/>
    <w:rsid w:val="000A7D9B"/>
    <w:rsid w:val="000B0B2E"/>
    <w:rsid w:val="000B31E3"/>
    <w:rsid w:val="000B33CD"/>
    <w:rsid w:val="000B7B4F"/>
    <w:rsid w:val="000C0A34"/>
    <w:rsid w:val="000C17C6"/>
    <w:rsid w:val="000C192D"/>
    <w:rsid w:val="000C2D29"/>
    <w:rsid w:val="000C3820"/>
    <w:rsid w:val="000C39DA"/>
    <w:rsid w:val="000C4658"/>
    <w:rsid w:val="000D0D2C"/>
    <w:rsid w:val="000D54DF"/>
    <w:rsid w:val="000D5E4A"/>
    <w:rsid w:val="000D63FD"/>
    <w:rsid w:val="000D728A"/>
    <w:rsid w:val="000D7FAE"/>
    <w:rsid w:val="000E3205"/>
    <w:rsid w:val="000E7989"/>
    <w:rsid w:val="000E7C85"/>
    <w:rsid w:val="000F0D55"/>
    <w:rsid w:val="000F28AC"/>
    <w:rsid w:val="000F54C0"/>
    <w:rsid w:val="000F5AC0"/>
    <w:rsid w:val="000F7C48"/>
    <w:rsid w:val="00105E44"/>
    <w:rsid w:val="001079CD"/>
    <w:rsid w:val="00111EB4"/>
    <w:rsid w:val="001145FB"/>
    <w:rsid w:val="0011497A"/>
    <w:rsid w:val="00114C1A"/>
    <w:rsid w:val="00114D63"/>
    <w:rsid w:val="00122B37"/>
    <w:rsid w:val="001275F3"/>
    <w:rsid w:val="00131CC0"/>
    <w:rsid w:val="00132166"/>
    <w:rsid w:val="00135BF6"/>
    <w:rsid w:val="001409DF"/>
    <w:rsid w:val="001436FA"/>
    <w:rsid w:val="001441A5"/>
    <w:rsid w:val="00144769"/>
    <w:rsid w:val="00155E7C"/>
    <w:rsid w:val="00157257"/>
    <w:rsid w:val="00157C0A"/>
    <w:rsid w:val="001601A5"/>
    <w:rsid w:val="00160D3C"/>
    <w:rsid w:val="00164DB2"/>
    <w:rsid w:val="00165863"/>
    <w:rsid w:val="00166B7E"/>
    <w:rsid w:val="001673A5"/>
    <w:rsid w:val="00167DBF"/>
    <w:rsid w:val="0017505F"/>
    <w:rsid w:val="0017547F"/>
    <w:rsid w:val="00175AAC"/>
    <w:rsid w:val="00187EE5"/>
    <w:rsid w:val="0019099C"/>
    <w:rsid w:val="00192513"/>
    <w:rsid w:val="00193A9E"/>
    <w:rsid w:val="001946C9"/>
    <w:rsid w:val="001A0B5D"/>
    <w:rsid w:val="001A1417"/>
    <w:rsid w:val="001A6ED5"/>
    <w:rsid w:val="001B0480"/>
    <w:rsid w:val="001B1FAB"/>
    <w:rsid w:val="001B214A"/>
    <w:rsid w:val="001C33EA"/>
    <w:rsid w:val="001C4684"/>
    <w:rsid w:val="001C728A"/>
    <w:rsid w:val="001C735F"/>
    <w:rsid w:val="001D12FB"/>
    <w:rsid w:val="001D192A"/>
    <w:rsid w:val="001D5C05"/>
    <w:rsid w:val="001F4E76"/>
    <w:rsid w:val="001F782C"/>
    <w:rsid w:val="00201AF3"/>
    <w:rsid w:val="00203B51"/>
    <w:rsid w:val="00210069"/>
    <w:rsid w:val="002118A1"/>
    <w:rsid w:val="00211ED7"/>
    <w:rsid w:val="00214A5C"/>
    <w:rsid w:val="00215D89"/>
    <w:rsid w:val="00224C78"/>
    <w:rsid w:val="0022733E"/>
    <w:rsid w:val="002278EC"/>
    <w:rsid w:val="002320AC"/>
    <w:rsid w:val="00236148"/>
    <w:rsid w:val="00242555"/>
    <w:rsid w:val="00242B6B"/>
    <w:rsid w:val="00247000"/>
    <w:rsid w:val="0024771C"/>
    <w:rsid w:val="00247F97"/>
    <w:rsid w:val="0025669E"/>
    <w:rsid w:val="00256A4C"/>
    <w:rsid w:val="002640E2"/>
    <w:rsid w:val="0026672A"/>
    <w:rsid w:val="00267A8C"/>
    <w:rsid w:val="00271FEB"/>
    <w:rsid w:val="00280E5E"/>
    <w:rsid w:val="00283685"/>
    <w:rsid w:val="00285462"/>
    <w:rsid w:val="002859E9"/>
    <w:rsid w:val="00290EEA"/>
    <w:rsid w:val="002A172C"/>
    <w:rsid w:val="002A1B7B"/>
    <w:rsid w:val="002A496E"/>
    <w:rsid w:val="002A5205"/>
    <w:rsid w:val="002A587B"/>
    <w:rsid w:val="002A708B"/>
    <w:rsid w:val="002B43D9"/>
    <w:rsid w:val="002B5C85"/>
    <w:rsid w:val="002C35FD"/>
    <w:rsid w:val="002C4A56"/>
    <w:rsid w:val="002C5D28"/>
    <w:rsid w:val="002D12EE"/>
    <w:rsid w:val="002D20A2"/>
    <w:rsid w:val="002D37B5"/>
    <w:rsid w:val="002D489D"/>
    <w:rsid w:val="002D7B7C"/>
    <w:rsid w:val="002E6110"/>
    <w:rsid w:val="002E6581"/>
    <w:rsid w:val="002E709A"/>
    <w:rsid w:val="002E75C0"/>
    <w:rsid w:val="002F0AD4"/>
    <w:rsid w:val="002F4488"/>
    <w:rsid w:val="002F5189"/>
    <w:rsid w:val="003002D9"/>
    <w:rsid w:val="003013ED"/>
    <w:rsid w:val="003057A2"/>
    <w:rsid w:val="00307A94"/>
    <w:rsid w:val="00314C57"/>
    <w:rsid w:val="0032081B"/>
    <w:rsid w:val="0032325C"/>
    <w:rsid w:val="00324D05"/>
    <w:rsid w:val="00330824"/>
    <w:rsid w:val="0033137F"/>
    <w:rsid w:val="003316F1"/>
    <w:rsid w:val="00332382"/>
    <w:rsid w:val="00332694"/>
    <w:rsid w:val="0033475D"/>
    <w:rsid w:val="00340CD7"/>
    <w:rsid w:val="00347750"/>
    <w:rsid w:val="00351237"/>
    <w:rsid w:val="00352968"/>
    <w:rsid w:val="003556EA"/>
    <w:rsid w:val="0036337B"/>
    <w:rsid w:val="00366E8B"/>
    <w:rsid w:val="00373391"/>
    <w:rsid w:val="003751C2"/>
    <w:rsid w:val="003763D7"/>
    <w:rsid w:val="00376E71"/>
    <w:rsid w:val="0037718B"/>
    <w:rsid w:val="003803BB"/>
    <w:rsid w:val="00382DF9"/>
    <w:rsid w:val="0038602F"/>
    <w:rsid w:val="0038654F"/>
    <w:rsid w:val="003871E5"/>
    <w:rsid w:val="00390BD4"/>
    <w:rsid w:val="003922F9"/>
    <w:rsid w:val="0039355B"/>
    <w:rsid w:val="003963D8"/>
    <w:rsid w:val="003968A3"/>
    <w:rsid w:val="003A00D1"/>
    <w:rsid w:val="003A7793"/>
    <w:rsid w:val="003B1CBA"/>
    <w:rsid w:val="003B5533"/>
    <w:rsid w:val="003C2D6C"/>
    <w:rsid w:val="003C300E"/>
    <w:rsid w:val="003C3843"/>
    <w:rsid w:val="003C5977"/>
    <w:rsid w:val="003D01EE"/>
    <w:rsid w:val="003D2E7D"/>
    <w:rsid w:val="003E0BFF"/>
    <w:rsid w:val="003E56ED"/>
    <w:rsid w:val="003E7118"/>
    <w:rsid w:val="003F13A3"/>
    <w:rsid w:val="003F1A35"/>
    <w:rsid w:val="00404C5A"/>
    <w:rsid w:val="00405038"/>
    <w:rsid w:val="00411554"/>
    <w:rsid w:val="004156A6"/>
    <w:rsid w:val="00416D7E"/>
    <w:rsid w:val="00417BDC"/>
    <w:rsid w:val="00431CF0"/>
    <w:rsid w:val="004340CF"/>
    <w:rsid w:val="00442009"/>
    <w:rsid w:val="00442023"/>
    <w:rsid w:val="004444A8"/>
    <w:rsid w:val="00445040"/>
    <w:rsid w:val="00446BF4"/>
    <w:rsid w:val="00452B7E"/>
    <w:rsid w:val="00453FD9"/>
    <w:rsid w:val="004574C8"/>
    <w:rsid w:val="004577D5"/>
    <w:rsid w:val="0046396E"/>
    <w:rsid w:val="00465019"/>
    <w:rsid w:val="00466379"/>
    <w:rsid w:val="00466D7E"/>
    <w:rsid w:val="00470972"/>
    <w:rsid w:val="004716C8"/>
    <w:rsid w:val="00471A58"/>
    <w:rsid w:val="00471E39"/>
    <w:rsid w:val="00472C25"/>
    <w:rsid w:val="0047529B"/>
    <w:rsid w:val="004772D3"/>
    <w:rsid w:val="0048199D"/>
    <w:rsid w:val="00492BCA"/>
    <w:rsid w:val="004A1344"/>
    <w:rsid w:val="004A1786"/>
    <w:rsid w:val="004A7CCB"/>
    <w:rsid w:val="004B4FF8"/>
    <w:rsid w:val="004C0A54"/>
    <w:rsid w:val="004C577D"/>
    <w:rsid w:val="004C73E5"/>
    <w:rsid w:val="004D31DE"/>
    <w:rsid w:val="004D3490"/>
    <w:rsid w:val="004D5394"/>
    <w:rsid w:val="004E0AF7"/>
    <w:rsid w:val="004E3845"/>
    <w:rsid w:val="004F1839"/>
    <w:rsid w:val="004F1DE8"/>
    <w:rsid w:val="0050092D"/>
    <w:rsid w:val="0050557D"/>
    <w:rsid w:val="005112B1"/>
    <w:rsid w:val="00511BFD"/>
    <w:rsid w:val="00511F1F"/>
    <w:rsid w:val="00515A0F"/>
    <w:rsid w:val="00522D99"/>
    <w:rsid w:val="00526D80"/>
    <w:rsid w:val="005312EB"/>
    <w:rsid w:val="00536D0E"/>
    <w:rsid w:val="0053783D"/>
    <w:rsid w:val="005411BC"/>
    <w:rsid w:val="00544C59"/>
    <w:rsid w:val="0054564B"/>
    <w:rsid w:val="00556438"/>
    <w:rsid w:val="005611F3"/>
    <w:rsid w:val="005654D9"/>
    <w:rsid w:val="00567679"/>
    <w:rsid w:val="00567D4C"/>
    <w:rsid w:val="00567F5E"/>
    <w:rsid w:val="005770E0"/>
    <w:rsid w:val="00582C75"/>
    <w:rsid w:val="00583334"/>
    <w:rsid w:val="00583D4A"/>
    <w:rsid w:val="00584840"/>
    <w:rsid w:val="00585ED4"/>
    <w:rsid w:val="005958A9"/>
    <w:rsid w:val="005A0EE4"/>
    <w:rsid w:val="005A1F1C"/>
    <w:rsid w:val="005A247A"/>
    <w:rsid w:val="005A2863"/>
    <w:rsid w:val="005A53A5"/>
    <w:rsid w:val="005B0552"/>
    <w:rsid w:val="005B5107"/>
    <w:rsid w:val="005C0C1C"/>
    <w:rsid w:val="005C240D"/>
    <w:rsid w:val="005C296C"/>
    <w:rsid w:val="005C339C"/>
    <w:rsid w:val="005D431E"/>
    <w:rsid w:val="005D43F0"/>
    <w:rsid w:val="005D4D51"/>
    <w:rsid w:val="005D5C6D"/>
    <w:rsid w:val="005E0128"/>
    <w:rsid w:val="005E1037"/>
    <w:rsid w:val="005E11F6"/>
    <w:rsid w:val="005E3385"/>
    <w:rsid w:val="005E3BCB"/>
    <w:rsid w:val="005F1012"/>
    <w:rsid w:val="005F1DD8"/>
    <w:rsid w:val="005F24D3"/>
    <w:rsid w:val="005F3360"/>
    <w:rsid w:val="00601C69"/>
    <w:rsid w:val="00602A0D"/>
    <w:rsid w:val="00612EC6"/>
    <w:rsid w:val="0061429B"/>
    <w:rsid w:val="006158F4"/>
    <w:rsid w:val="00615B04"/>
    <w:rsid w:val="00616094"/>
    <w:rsid w:val="006205A5"/>
    <w:rsid w:val="006220FE"/>
    <w:rsid w:val="006273E9"/>
    <w:rsid w:val="00627C16"/>
    <w:rsid w:val="00627C43"/>
    <w:rsid w:val="00632260"/>
    <w:rsid w:val="00632EEF"/>
    <w:rsid w:val="006377CA"/>
    <w:rsid w:val="00647419"/>
    <w:rsid w:val="00656D43"/>
    <w:rsid w:val="00656F8B"/>
    <w:rsid w:val="00660617"/>
    <w:rsid w:val="0066260C"/>
    <w:rsid w:val="0066340E"/>
    <w:rsid w:val="006715C0"/>
    <w:rsid w:val="00671CDD"/>
    <w:rsid w:val="006722C6"/>
    <w:rsid w:val="006814CA"/>
    <w:rsid w:val="00682D54"/>
    <w:rsid w:val="00683B02"/>
    <w:rsid w:val="00693F18"/>
    <w:rsid w:val="006A333E"/>
    <w:rsid w:val="006A3548"/>
    <w:rsid w:val="006A5F66"/>
    <w:rsid w:val="006A7192"/>
    <w:rsid w:val="006A770E"/>
    <w:rsid w:val="006B0CCD"/>
    <w:rsid w:val="006B1385"/>
    <w:rsid w:val="006C03DA"/>
    <w:rsid w:val="006C1292"/>
    <w:rsid w:val="006C220A"/>
    <w:rsid w:val="006C24F1"/>
    <w:rsid w:val="006C256D"/>
    <w:rsid w:val="006C4360"/>
    <w:rsid w:val="006C6A09"/>
    <w:rsid w:val="006D15B0"/>
    <w:rsid w:val="006E1B2D"/>
    <w:rsid w:val="006E295D"/>
    <w:rsid w:val="006E4DAB"/>
    <w:rsid w:val="006E721D"/>
    <w:rsid w:val="006F0CE2"/>
    <w:rsid w:val="006F266D"/>
    <w:rsid w:val="006F3410"/>
    <w:rsid w:val="006F4B56"/>
    <w:rsid w:val="00701F4B"/>
    <w:rsid w:val="00702270"/>
    <w:rsid w:val="007067F6"/>
    <w:rsid w:val="00710181"/>
    <w:rsid w:val="00716C57"/>
    <w:rsid w:val="00720A05"/>
    <w:rsid w:val="00720FB7"/>
    <w:rsid w:val="007251F7"/>
    <w:rsid w:val="0072724B"/>
    <w:rsid w:val="00727BEB"/>
    <w:rsid w:val="007330BE"/>
    <w:rsid w:val="00744019"/>
    <w:rsid w:val="00745E23"/>
    <w:rsid w:val="0075041A"/>
    <w:rsid w:val="00756F69"/>
    <w:rsid w:val="00760B9F"/>
    <w:rsid w:val="00764B07"/>
    <w:rsid w:val="007703ED"/>
    <w:rsid w:val="00777F52"/>
    <w:rsid w:val="00781F0C"/>
    <w:rsid w:val="00785D38"/>
    <w:rsid w:val="00790172"/>
    <w:rsid w:val="00791843"/>
    <w:rsid w:val="00791AA9"/>
    <w:rsid w:val="00791B79"/>
    <w:rsid w:val="00792530"/>
    <w:rsid w:val="00794201"/>
    <w:rsid w:val="00795516"/>
    <w:rsid w:val="007A2704"/>
    <w:rsid w:val="007A3461"/>
    <w:rsid w:val="007A6D07"/>
    <w:rsid w:val="007A7A48"/>
    <w:rsid w:val="007B0231"/>
    <w:rsid w:val="007B3238"/>
    <w:rsid w:val="007B3556"/>
    <w:rsid w:val="007B55A5"/>
    <w:rsid w:val="007B751A"/>
    <w:rsid w:val="007C0F5C"/>
    <w:rsid w:val="007C185C"/>
    <w:rsid w:val="007C5D42"/>
    <w:rsid w:val="007C7360"/>
    <w:rsid w:val="007D1233"/>
    <w:rsid w:val="007D1512"/>
    <w:rsid w:val="007D2228"/>
    <w:rsid w:val="007D2435"/>
    <w:rsid w:val="007D3286"/>
    <w:rsid w:val="007D34EA"/>
    <w:rsid w:val="007D5A2C"/>
    <w:rsid w:val="007E0A52"/>
    <w:rsid w:val="007E21ED"/>
    <w:rsid w:val="007E4531"/>
    <w:rsid w:val="007E7A1F"/>
    <w:rsid w:val="007F0E76"/>
    <w:rsid w:val="007F581E"/>
    <w:rsid w:val="00800D98"/>
    <w:rsid w:val="00803F04"/>
    <w:rsid w:val="008057C3"/>
    <w:rsid w:val="00807CB4"/>
    <w:rsid w:val="008131BD"/>
    <w:rsid w:val="0081323F"/>
    <w:rsid w:val="00813649"/>
    <w:rsid w:val="008159CB"/>
    <w:rsid w:val="00821FDA"/>
    <w:rsid w:val="00823B81"/>
    <w:rsid w:val="00827EB6"/>
    <w:rsid w:val="00830C5E"/>
    <w:rsid w:val="00834908"/>
    <w:rsid w:val="008432F0"/>
    <w:rsid w:val="0084542A"/>
    <w:rsid w:val="00845DCC"/>
    <w:rsid w:val="00846658"/>
    <w:rsid w:val="008470C0"/>
    <w:rsid w:val="00852649"/>
    <w:rsid w:val="00853A2A"/>
    <w:rsid w:val="00853B70"/>
    <w:rsid w:val="00856FB4"/>
    <w:rsid w:val="00863C11"/>
    <w:rsid w:val="008649B8"/>
    <w:rsid w:val="00867065"/>
    <w:rsid w:val="00880256"/>
    <w:rsid w:val="00882429"/>
    <w:rsid w:val="0088482D"/>
    <w:rsid w:val="008853B1"/>
    <w:rsid w:val="00892DF7"/>
    <w:rsid w:val="008A534C"/>
    <w:rsid w:val="008A6158"/>
    <w:rsid w:val="008B61E1"/>
    <w:rsid w:val="008C1198"/>
    <w:rsid w:val="008C2EF6"/>
    <w:rsid w:val="008D0BD6"/>
    <w:rsid w:val="008D268C"/>
    <w:rsid w:val="008E0072"/>
    <w:rsid w:val="008E0C46"/>
    <w:rsid w:val="008E1FEC"/>
    <w:rsid w:val="008E2AD6"/>
    <w:rsid w:val="008F0677"/>
    <w:rsid w:val="008F0E08"/>
    <w:rsid w:val="008F5876"/>
    <w:rsid w:val="00902742"/>
    <w:rsid w:val="0090386B"/>
    <w:rsid w:val="009039E7"/>
    <w:rsid w:val="00904B5A"/>
    <w:rsid w:val="00905328"/>
    <w:rsid w:val="0090676A"/>
    <w:rsid w:val="00910BEA"/>
    <w:rsid w:val="00915D8F"/>
    <w:rsid w:val="00921195"/>
    <w:rsid w:val="009211C1"/>
    <w:rsid w:val="00926AF8"/>
    <w:rsid w:val="00927682"/>
    <w:rsid w:val="009308DC"/>
    <w:rsid w:val="00934073"/>
    <w:rsid w:val="00942AD1"/>
    <w:rsid w:val="00950FA9"/>
    <w:rsid w:val="00951A85"/>
    <w:rsid w:val="009535FE"/>
    <w:rsid w:val="0095622F"/>
    <w:rsid w:val="00957966"/>
    <w:rsid w:val="00960000"/>
    <w:rsid w:val="00963F0E"/>
    <w:rsid w:val="00967086"/>
    <w:rsid w:val="00967CF0"/>
    <w:rsid w:val="009828E0"/>
    <w:rsid w:val="00985069"/>
    <w:rsid w:val="00987C15"/>
    <w:rsid w:val="0099087C"/>
    <w:rsid w:val="00990B9C"/>
    <w:rsid w:val="009924D7"/>
    <w:rsid w:val="009931C5"/>
    <w:rsid w:val="009A04EF"/>
    <w:rsid w:val="009A1912"/>
    <w:rsid w:val="009A1E48"/>
    <w:rsid w:val="009A5CF2"/>
    <w:rsid w:val="009A742F"/>
    <w:rsid w:val="009A7AB6"/>
    <w:rsid w:val="009B0187"/>
    <w:rsid w:val="009B6461"/>
    <w:rsid w:val="009C069A"/>
    <w:rsid w:val="009C098C"/>
    <w:rsid w:val="009C64BA"/>
    <w:rsid w:val="009C753C"/>
    <w:rsid w:val="009D283F"/>
    <w:rsid w:val="009D4F92"/>
    <w:rsid w:val="009E6FD4"/>
    <w:rsid w:val="009E764C"/>
    <w:rsid w:val="009F08FE"/>
    <w:rsid w:val="009F19FF"/>
    <w:rsid w:val="00A001DC"/>
    <w:rsid w:val="00A01678"/>
    <w:rsid w:val="00A0443C"/>
    <w:rsid w:val="00A04B83"/>
    <w:rsid w:val="00A06058"/>
    <w:rsid w:val="00A062A7"/>
    <w:rsid w:val="00A1003D"/>
    <w:rsid w:val="00A15899"/>
    <w:rsid w:val="00A15D8E"/>
    <w:rsid w:val="00A17706"/>
    <w:rsid w:val="00A2085B"/>
    <w:rsid w:val="00A241CF"/>
    <w:rsid w:val="00A244B9"/>
    <w:rsid w:val="00A24CC2"/>
    <w:rsid w:val="00A26F13"/>
    <w:rsid w:val="00A27D99"/>
    <w:rsid w:val="00A332B2"/>
    <w:rsid w:val="00A336CC"/>
    <w:rsid w:val="00A3749D"/>
    <w:rsid w:val="00A40361"/>
    <w:rsid w:val="00A41465"/>
    <w:rsid w:val="00A520EC"/>
    <w:rsid w:val="00A52555"/>
    <w:rsid w:val="00A5570A"/>
    <w:rsid w:val="00A559A3"/>
    <w:rsid w:val="00A56B63"/>
    <w:rsid w:val="00A56EB3"/>
    <w:rsid w:val="00A56FA3"/>
    <w:rsid w:val="00A62B3F"/>
    <w:rsid w:val="00A66B88"/>
    <w:rsid w:val="00A6731D"/>
    <w:rsid w:val="00A7157C"/>
    <w:rsid w:val="00A72433"/>
    <w:rsid w:val="00A739D0"/>
    <w:rsid w:val="00A73D2B"/>
    <w:rsid w:val="00A758AD"/>
    <w:rsid w:val="00A7599F"/>
    <w:rsid w:val="00A77F72"/>
    <w:rsid w:val="00A806B3"/>
    <w:rsid w:val="00A81329"/>
    <w:rsid w:val="00A8594F"/>
    <w:rsid w:val="00A91412"/>
    <w:rsid w:val="00A93E67"/>
    <w:rsid w:val="00A9420D"/>
    <w:rsid w:val="00A948D3"/>
    <w:rsid w:val="00A94CF8"/>
    <w:rsid w:val="00A95545"/>
    <w:rsid w:val="00A97804"/>
    <w:rsid w:val="00AA108F"/>
    <w:rsid w:val="00AA168F"/>
    <w:rsid w:val="00AA2FAA"/>
    <w:rsid w:val="00AA4566"/>
    <w:rsid w:val="00AB14F6"/>
    <w:rsid w:val="00AB2CF1"/>
    <w:rsid w:val="00AB2F94"/>
    <w:rsid w:val="00AC5F53"/>
    <w:rsid w:val="00AD1077"/>
    <w:rsid w:val="00AD34DE"/>
    <w:rsid w:val="00AD5AA6"/>
    <w:rsid w:val="00AD669E"/>
    <w:rsid w:val="00AE4592"/>
    <w:rsid w:val="00AE7BCC"/>
    <w:rsid w:val="00AF347C"/>
    <w:rsid w:val="00AF353C"/>
    <w:rsid w:val="00AF4514"/>
    <w:rsid w:val="00AF6D72"/>
    <w:rsid w:val="00AF7400"/>
    <w:rsid w:val="00B01156"/>
    <w:rsid w:val="00B04937"/>
    <w:rsid w:val="00B06772"/>
    <w:rsid w:val="00B11BA4"/>
    <w:rsid w:val="00B1655F"/>
    <w:rsid w:val="00B2152F"/>
    <w:rsid w:val="00B23A8C"/>
    <w:rsid w:val="00B251DA"/>
    <w:rsid w:val="00B26A50"/>
    <w:rsid w:val="00B31815"/>
    <w:rsid w:val="00B40DA4"/>
    <w:rsid w:val="00B41755"/>
    <w:rsid w:val="00B41AFE"/>
    <w:rsid w:val="00B4563C"/>
    <w:rsid w:val="00B5087D"/>
    <w:rsid w:val="00B521CD"/>
    <w:rsid w:val="00B56A87"/>
    <w:rsid w:val="00B64077"/>
    <w:rsid w:val="00B73709"/>
    <w:rsid w:val="00B81612"/>
    <w:rsid w:val="00B819C0"/>
    <w:rsid w:val="00B847D2"/>
    <w:rsid w:val="00B907CB"/>
    <w:rsid w:val="00B918DC"/>
    <w:rsid w:val="00B950B9"/>
    <w:rsid w:val="00B95A3E"/>
    <w:rsid w:val="00BA0906"/>
    <w:rsid w:val="00BA6545"/>
    <w:rsid w:val="00BA67E4"/>
    <w:rsid w:val="00BA69C7"/>
    <w:rsid w:val="00BB007C"/>
    <w:rsid w:val="00BB2F43"/>
    <w:rsid w:val="00BB5975"/>
    <w:rsid w:val="00BB6C4A"/>
    <w:rsid w:val="00BC064C"/>
    <w:rsid w:val="00BC213B"/>
    <w:rsid w:val="00BD1B89"/>
    <w:rsid w:val="00BD24B9"/>
    <w:rsid w:val="00BD54AB"/>
    <w:rsid w:val="00BD5D84"/>
    <w:rsid w:val="00BD65C2"/>
    <w:rsid w:val="00BE0A73"/>
    <w:rsid w:val="00BE1D15"/>
    <w:rsid w:val="00BF0934"/>
    <w:rsid w:val="00BF4279"/>
    <w:rsid w:val="00BF5C88"/>
    <w:rsid w:val="00BF6963"/>
    <w:rsid w:val="00C06B4E"/>
    <w:rsid w:val="00C1726C"/>
    <w:rsid w:val="00C1783D"/>
    <w:rsid w:val="00C22BDE"/>
    <w:rsid w:val="00C247E5"/>
    <w:rsid w:val="00C27DB3"/>
    <w:rsid w:val="00C3179D"/>
    <w:rsid w:val="00C32AF4"/>
    <w:rsid w:val="00C360B9"/>
    <w:rsid w:val="00C40ED8"/>
    <w:rsid w:val="00C42203"/>
    <w:rsid w:val="00C51EC9"/>
    <w:rsid w:val="00C533EA"/>
    <w:rsid w:val="00C54F20"/>
    <w:rsid w:val="00C60A88"/>
    <w:rsid w:val="00C611C2"/>
    <w:rsid w:val="00C6197D"/>
    <w:rsid w:val="00C632F9"/>
    <w:rsid w:val="00C635B2"/>
    <w:rsid w:val="00C64A65"/>
    <w:rsid w:val="00C65077"/>
    <w:rsid w:val="00C6699A"/>
    <w:rsid w:val="00C80DAC"/>
    <w:rsid w:val="00C8142A"/>
    <w:rsid w:val="00C8646E"/>
    <w:rsid w:val="00C92346"/>
    <w:rsid w:val="00CA156C"/>
    <w:rsid w:val="00CA3C84"/>
    <w:rsid w:val="00CB0BFC"/>
    <w:rsid w:val="00CB7D04"/>
    <w:rsid w:val="00CC2BA5"/>
    <w:rsid w:val="00CC3CA4"/>
    <w:rsid w:val="00CC4916"/>
    <w:rsid w:val="00CC4F30"/>
    <w:rsid w:val="00CD036A"/>
    <w:rsid w:val="00CD4091"/>
    <w:rsid w:val="00CD5A23"/>
    <w:rsid w:val="00CD63EC"/>
    <w:rsid w:val="00CD7E3E"/>
    <w:rsid w:val="00CE1D42"/>
    <w:rsid w:val="00CF0DEB"/>
    <w:rsid w:val="00CF32B9"/>
    <w:rsid w:val="00CF33F3"/>
    <w:rsid w:val="00CF6D39"/>
    <w:rsid w:val="00CF7B25"/>
    <w:rsid w:val="00D04AD3"/>
    <w:rsid w:val="00D05CB0"/>
    <w:rsid w:val="00D079B9"/>
    <w:rsid w:val="00D11C63"/>
    <w:rsid w:val="00D12166"/>
    <w:rsid w:val="00D13A1B"/>
    <w:rsid w:val="00D147F3"/>
    <w:rsid w:val="00D148F7"/>
    <w:rsid w:val="00D17189"/>
    <w:rsid w:val="00D17A64"/>
    <w:rsid w:val="00D21A43"/>
    <w:rsid w:val="00D22281"/>
    <w:rsid w:val="00D249C9"/>
    <w:rsid w:val="00D36D0D"/>
    <w:rsid w:val="00D37262"/>
    <w:rsid w:val="00D40CAC"/>
    <w:rsid w:val="00D41147"/>
    <w:rsid w:val="00D42BAA"/>
    <w:rsid w:val="00D42F86"/>
    <w:rsid w:val="00D431B7"/>
    <w:rsid w:val="00D433E6"/>
    <w:rsid w:val="00D5052F"/>
    <w:rsid w:val="00D50A11"/>
    <w:rsid w:val="00D510C0"/>
    <w:rsid w:val="00D5278E"/>
    <w:rsid w:val="00D54355"/>
    <w:rsid w:val="00D568A3"/>
    <w:rsid w:val="00D615BC"/>
    <w:rsid w:val="00D62A99"/>
    <w:rsid w:val="00D638FE"/>
    <w:rsid w:val="00D63D0B"/>
    <w:rsid w:val="00D6633C"/>
    <w:rsid w:val="00D72A6E"/>
    <w:rsid w:val="00D72D12"/>
    <w:rsid w:val="00D74108"/>
    <w:rsid w:val="00D76809"/>
    <w:rsid w:val="00D772DC"/>
    <w:rsid w:val="00D82393"/>
    <w:rsid w:val="00D823DD"/>
    <w:rsid w:val="00D833CF"/>
    <w:rsid w:val="00D844BF"/>
    <w:rsid w:val="00D85449"/>
    <w:rsid w:val="00D91314"/>
    <w:rsid w:val="00D918AA"/>
    <w:rsid w:val="00D94D98"/>
    <w:rsid w:val="00D9729C"/>
    <w:rsid w:val="00DA32A8"/>
    <w:rsid w:val="00DA455E"/>
    <w:rsid w:val="00DA57CB"/>
    <w:rsid w:val="00DB1383"/>
    <w:rsid w:val="00DB63B3"/>
    <w:rsid w:val="00DC2FB3"/>
    <w:rsid w:val="00DC7D5A"/>
    <w:rsid w:val="00DD0427"/>
    <w:rsid w:val="00DD1D1D"/>
    <w:rsid w:val="00DD39C2"/>
    <w:rsid w:val="00DD79A8"/>
    <w:rsid w:val="00DE6A0D"/>
    <w:rsid w:val="00DE774F"/>
    <w:rsid w:val="00E03A8A"/>
    <w:rsid w:val="00E0753B"/>
    <w:rsid w:val="00E133F1"/>
    <w:rsid w:val="00E1462C"/>
    <w:rsid w:val="00E14CD3"/>
    <w:rsid w:val="00E1501D"/>
    <w:rsid w:val="00E157DF"/>
    <w:rsid w:val="00E24F18"/>
    <w:rsid w:val="00E263CA"/>
    <w:rsid w:val="00E2652C"/>
    <w:rsid w:val="00E2756C"/>
    <w:rsid w:val="00E3236F"/>
    <w:rsid w:val="00E34D1D"/>
    <w:rsid w:val="00E35229"/>
    <w:rsid w:val="00E36D9C"/>
    <w:rsid w:val="00E42577"/>
    <w:rsid w:val="00E4702C"/>
    <w:rsid w:val="00E5177C"/>
    <w:rsid w:val="00E54EC8"/>
    <w:rsid w:val="00E559E7"/>
    <w:rsid w:val="00E5738C"/>
    <w:rsid w:val="00E637C0"/>
    <w:rsid w:val="00E63FA9"/>
    <w:rsid w:val="00E66DF5"/>
    <w:rsid w:val="00E7051C"/>
    <w:rsid w:val="00E75671"/>
    <w:rsid w:val="00E766E7"/>
    <w:rsid w:val="00E77D1F"/>
    <w:rsid w:val="00E82990"/>
    <w:rsid w:val="00E8475B"/>
    <w:rsid w:val="00E865FE"/>
    <w:rsid w:val="00E876B9"/>
    <w:rsid w:val="00E932E3"/>
    <w:rsid w:val="00E934DE"/>
    <w:rsid w:val="00E94672"/>
    <w:rsid w:val="00EA4C04"/>
    <w:rsid w:val="00EA6514"/>
    <w:rsid w:val="00EA66D8"/>
    <w:rsid w:val="00EA7A57"/>
    <w:rsid w:val="00EB1877"/>
    <w:rsid w:val="00EB5B57"/>
    <w:rsid w:val="00EB62D1"/>
    <w:rsid w:val="00EB77F4"/>
    <w:rsid w:val="00EC1A48"/>
    <w:rsid w:val="00EC3553"/>
    <w:rsid w:val="00ED1B0E"/>
    <w:rsid w:val="00EE0EC3"/>
    <w:rsid w:val="00EE4B50"/>
    <w:rsid w:val="00EF0144"/>
    <w:rsid w:val="00EF1E4F"/>
    <w:rsid w:val="00EF5810"/>
    <w:rsid w:val="00EF58BC"/>
    <w:rsid w:val="00F00D44"/>
    <w:rsid w:val="00F033FA"/>
    <w:rsid w:val="00F05175"/>
    <w:rsid w:val="00F124B2"/>
    <w:rsid w:val="00F1295E"/>
    <w:rsid w:val="00F13F65"/>
    <w:rsid w:val="00F13FE2"/>
    <w:rsid w:val="00F14589"/>
    <w:rsid w:val="00F14EB2"/>
    <w:rsid w:val="00F1517F"/>
    <w:rsid w:val="00F1747F"/>
    <w:rsid w:val="00F22694"/>
    <w:rsid w:val="00F2397D"/>
    <w:rsid w:val="00F23D14"/>
    <w:rsid w:val="00F25BB9"/>
    <w:rsid w:val="00F25D67"/>
    <w:rsid w:val="00F331E1"/>
    <w:rsid w:val="00F409D3"/>
    <w:rsid w:val="00F41E00"/>
    <w:rsid w:val="00F4667A"/>
    <w:rsid w:val="00F5078E"/>
    <w:rsid w:val="00F51F27"/>
    <w:rsid w:val="00F57B63"/>
    <w:rsid w:val="00F621D5"/>
    <w:rsid w:val="00F67403"/>
    <w:rsid w:val="00F80701"/>
    <w:rsid w:val="00F83DF5"/>
    <w:rsid w:val="00F84653"/>
    <w:rsid w:val="00F851B9"/>
    <w:rsid w:val="00F864B1"/>
    <w:rsid w:val="00F86E40"/>
    <w:rsid w:val="00F93157"/>
    <w:rsid w:val="00F93962"/>
    <w:rsid w:val="00FA4CC6"/>
    <w:rsid w:val="00FB37F4"/>
    <w:rsid w:val="00FB5E20"/>
    <w:rsid w:val="00FC25E4"/>
    <w:rsid w:val="00FC4457"/>
    <w:rsid w:val="00FC598A"/>
    <w:rsid w:val="00FC5E96"/>
    <w:rsid w:val="00FC6AF6"/>
    <w:rsid w:val="00FC78EE"/>
    <w:rsid w:val="00FC7A68"/>
    <w:rsid w:val="00FD0DF5"/>
    <w:rsid w:val="00FD3642"/>
    <w:rsid w:val="00FD5E95"/>
    <w:rsid w:val="00FE6DC3"/>
    <w:rsid w:val="00FE70A6"/>
    <w:rsid w:val="00FE7B64"/>
    <w:rsid w:val="00FF3354"/>
    <w:rsid w:val="00FF56D8"/>
    <w:rsid w:val="00FF6609"/>
    <w:rsid w:val="00FF682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FB98B3"/>
  <w15:docId w15:val="{3456AB99-3DA3-4FDF-873E-32AC01ADA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47F"/>
  </w:style>
  <w:style w:type="paragraph" w:styleId="Heading2">
    <w:name w:val="heading 2"/>
    <w:basedOn w:val="Normal"/>
    <w:next w:val="Normal"/>
    <w:link w:val="Heading2Char"/>
    <w:uiPriority w:val="9"/>
    <w:unhideWhenUsed/>
    <w:qFormat/>
    <w:rsid w:val="00C533EA"/>
    <w:pPr>
      <w:keepNext/>
      <w:keepLines/>
      <w:spacing w:before="40" w:after="0"/>
      <w:outlineLvl w:val="1"/>
    </w:pPr>
    <w:rPr>
      <w:rFonts w:asciiTheme="majorHAnsi" w:eastAsiaTheme="majorEastAsia" w:hAnsiTheme="majorHAnsi" w:cstheme="majorBidi"/>
      <w:color w:val="2E74B5" w:themeColor="accent1" w:themeShade="BF"/>
      <w:sz w:val="26"/>
      <w:szCs w:val="26"/>
      <w:lang w:eastAsia="tr-TR"/>
    </w:rPr>
  </w:style>
  <w:style w:type="paragraph" w:styleId="Heading3">
    <w:name w:val="heading 3"/>
    <w:basedOn w:val="Normal"/>
    <w:next w:val="Normal"/>
    <w:link w:val="Heading3Char"/>
    <w:uiPriority w:val="9"/>
    <w:semiHidden/>
    <w:unhideWhenUsed/>
    <w:qFormat/>
    <w:rsid w:val="00D638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33EA"/>
    <w:rPr>
      <w:rFonts w:asciiTheme="majorHAnsi" w:eastAsiaTheme="majorEastAsia" w:hAnsiTheme="majorHAnsi" w:cstheme="majorBidi"/>
      <w:color w:val="2E74B5" w:themeColor="accent1" w:themeShade="BF"/>
      <w:sz w:val="26"/>
      <w:szCs w:val="26"/>
      <w:lang w:eastAsia="tr-TR"/>
    </w:rPr>
  </w:style>
  <w:style w:type="character" w:customStyle="1" w:styleId="MaviChar">
    <w:name w:val="Mavi Char"/>
    <w:link w:val="Mavi"/>
    <w:locked/>
    <w:rsid w:val="00C533EA"/>
    <w:rPr>
      <w:rFonts w:ascii="Times New Roman" w:eastAsia="Calibri" w:hAnsi="Times New Roman" w:cs="Times New Roman"/>
      <w:b/>
      <w:bCs/>
      <w:color w:val="0000FF"/>
      <w:sz w:val="24"/>
      <w:szCs w:val="24"/>
      <w:u w:val="single"/>
    </w:rPr>
  </w:style>
  <w:style w:type="paragraph" w:customStyle="1" w:styleId="Mavi">
    <w:name w:val="Mavi"/>
    <w:basedOn w:val="Normal"/>
    <w:link w:val="MaviChar"/>
    <w:qFormat/>
    <w:rsid w:val="00C533EA"/>
    <w:pPr>
      <w:tabs>
        <w:tab w:val="left" w:pos="567"/>
      </w:tabs>
      <w:spacing w:after="0" w:line="240" w:lineRule="auto"/>
      <w:jc w:val="both"/>
    </w:pPr>
    <w:rPr>
      <w:rFonts w:ascii="Times New Roman" w:eastAsia="Calibri" w:hAnsi="Times New Roman" w:cs="Times New Roman"/>
      <w:b/>
      <w:bCs/>
      <w:color w:val="0000FF"/>
      <w:sz w:val="24"/>
      <w:szCs w:val="24"/>
      <w:u w:val="single"/>
    </w:rPr>
  </w:style>
  <w:style w:type="paragraph" w:customStyle="1" w:styleId="MaddeBasl">
    <w:name w:val="Madde Baslığı"/>
    <w:basedOn w:val="Normal"/>
    <w:next w:val="Normal"/>
    <w:rsid w:val="00C533EA"/>
    <w:pPr>
      <w:tabs>
        <w:tab w:val="left" w:pos="567"/>
      </w:tabs>
      <w:spacing w:before="113" w:after="0" w:line="200" w:lineRule="exact"/>
      <w:jc w:val="both"/>
    </w:pPr>
    <w:rPr>
      <w:rFonts w:ascii="New York" w:eastAsia="Times New Roman" w:hAnsi="New York" w:cs="Times New Roman"/>
      <w:i/>
      <w:sz w:val="18"/>
      <w:szCs w:val="20"/>
      <w:lang w:val="en-US" w:eastAsia="tr-TR"/>
    </w:rPr>
  </w:style>
  <w:style w:type="paragraph" w:customStyle="1" w:styleId="KanTab">
    <w:name w:val="Kan Tab"/>
    <w:basedOn w:val="Normal"/>
    <w:rsid w:val="00C533EA"/>
    <w:pPr>
      <w:tabs>
        <w:tab w:val="left" w:pos="567"/>
        <w:tab w:val="left" w:pos="2835"/>
      </w:tabs>
      <w:spacing w:after="0" w:line="240" w:lineRule="auto"/>
      <w:jc w:val="both"/>
    </w:pPr>
    <w:rPr>
      <w:rFonts w:ascii="New York" w:eastAsia="Times New Roman" w:hAnsi="New York" w:cs="Times New Roman"/>
      <w:b/>
      <w:szCs w:val="24"/>
      <w:lang w:val="en-US" w:eastAsia="tr-TR"/>
    </w:rPr>
  </w:style>
  <w:style w:type="table" w:customStyle="1" w:styleId="TabloKlavuzu5">
    <w:name w:val="Tablo Kılavuzu5"/>
    <w:basedOn w:val="TableNormal"/>
    <w:next w:val="TableGrid"/>
    <w:uiPriority w:val="39"/>
    <w:rsid w:val="00C533E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533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D638FE"/>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A332B2"/>
    <w:rPr>
      <w:sz w:val="16"/>
      <w:szCs w:val="16"/>
    </w:rPr>
  </w:style>
  <w:style w:type="paragraph" w:styleId="CommentText">
    <w:name w:val="annotation text"/>
    <w:basedOn w:val="Normal"/>
    <w:link w:val="CommentTextChar"/>
    <w:uiPriority w:val="99"/>
    <w:semiHidden/>
    <w:unhideWhenUsed/>
    <w:rsid w:val="00A332B2"/>
    <w:pPr>
      <w:spacing w:line="240" w:lineRule="auto"/>
    </w:pPr>
    <w:rPr>
      <w:sz w:val="20"/>
      <w:szCs w:val="20"/>
    </w:rPr>
  </w:style>
  <w:style w:type="character" w:customStyle="1" w:styleId="CommentTextChar">
    <w:name w:val="Comment Text Char"/>
    <w:basedOn w:val="DefaultParagraphFont"/>
    <w:link w:val="CommentText"/>
    <w:uiPriority w:val="99"/>
    <w:semiHidden/>
    <w:rsid w:val="00A332B2"/>
    <w:rPr>
      <w:sz w:val="20"/>
      <w:szCs w:val="20"/>
    </w:rPr>
  </w:style>
  <w:style w:type="paragraph" w:styleId="CommentSubject">
    <w:name w:val="annotation subject"/>
    <w:basedOn w:val="CommentText"/>
    <w:next w:val="CommentText"/>
    <w:link w:val="CommentSubjectChar"/>
    <w:uiPriority w:val="99"/>
    <w:semiHidden/>
    <w:unhideWhenUsed/>
    <w:rsid w:val="00A332B2"/>
    <w:rPr>
      <w:b/>
      <w:bCs/>
    </w:rPr>
  </w:style>
  <w:style w:type="character" w:customStyle="1" w:styleId="CommentSubjectChar">
    <w:name w:val="Comment Subject Char"/>
    <w:basedOn w:val="CommentTextChar"/>
    <w:link w:val="CommentSubject"/>
    <w:uiPriority w:val="99"/>
    <w:semiHidden/>
    <w:rsid w:val="00A332B2"/>
    <w:rPr>
      <w:b/>
      <w:bCs/>
      <w:sz w:val="20"/>
      <w:szCs w:val="20"/>
    </w:rPr>
  </w:style>
  <w:style w:type="paragraph" w:styleId="BalloonText">
    <w:name w:val="Balloon Text"/>
    <w:basedOn w:val="Normal"/>
    <w:link w:val="BalloonTextChar"/>
    <w:uiPriority w:val="99"/>
    <w:semiHidden/>
    <w:unhideWhenUsed/>
    <w:rsid w:val="00A332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2B2"/>
    <w:rPr>
      <w:rFonts w:ascii="Tahoma" w:hAnsi="Tahoma" w:cs="Tahoma"/>
      <w:sz w:val="16"/>
      <w:szCs w:val="16"/>
    </w:rPr>
  </w:style>
  <w:style w:type="paragraph" w:styleId="ListParagraph">
    <w:name w:val="List Paragraph"/>
    <w:aliases w:val="içindekiler vb,LİSTE PARAF,KODLAMA,ALT BAŞLIK,Liste Paragraf 1"/>
    <w:basedOn w:val="Normal"/>
    <w:link w:val="ListParagraphChar"/>
    <w:uiPriority w:val="34"/>
    <w:qFormat/>
    <w:rsid w:val="00E14CD3"/>
    <w:pPr>
      <w:ind w:left="720"/>
      <w:contextualSpacing/>
    </w:pPr>
  </w:style>
  <w:style w:type="table" w:customStyle="1" w:styleId="TabloKlavuzu1">
    <w:name w:val="Tablo Kılavuzu1"/>
    <w:basedOn w:val="TableNormal"/>
    <w:next w:val="TableGrid"/>
    <w:uiPriority w:val="39"/>
    <w:rsid w:val="002278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56F11"/>
    <w:pPr>
      <w:spacing w:after="0" w:line="240" w:lineRule="auto"/>
    </w:pPr>
  </w:style>
  <w:style w:type="paragraph" w:styleId="NormalWeb">
    <w:name w:val="Normal (Web)"/>
    <w:basedOn w:val="Normal"/>
    <w:uiPriority w:val="99"/>
    <w:semiHidden/>
    <w:unhideWhenUsed/>
    <w:rsid w:val="00FE70A6"/>
    <w:pPr>
      <w:spacing w:after="0" w:line="240" w:lineRule="auto"/>
    </w:pPr>
    <w:rPr>
      <w:rFonts w:ascii="Times New Roman" w:hAnsi="Times New Roman" w:cs="Times New Roman"/>
      <w:sz w:val="24"/>
      <w:szCs w:val="24"/>
      <w:lang w:eastAsia="tr-TR"/>
    </w:rPr>
  </w:style>
  <w:style w:type="paragraph" w:styleId="Header">
    <w:name w:val="header"/>
    <w:basedOn w:val="Normal"/>
    <w:link w:val="HeaderChar"/>
    <w:uiPriority w:val="99"/>
    <w:unhideWhenUsed/>
    <w:rsid w:val="001B214A"/>
    <w:pPr>
      <w:tabs>
        <w:tab w:val="center" w:pos="4536"/>
        <w:tab w:val="right" w:pos="9072"/>
      </w:tabs>
      <w:spacing w:after="0" w:line="240" w:lineRule="auto"/>
    </w:pPr>
  </w:style>
  <w:style w:type="character" w:customStyle="1" w:styleId="HeaderChar">
    <w:name w:val="Header Char"/>
    <w:basedOn w:val="DefaultParagraphFont"/>
    <w:link w:val="Header"/>
    <w:uiPriority w:val="99"/>
    <w:rsid w:val="001B214A"/>
  </w:style>
  <w:style w:type="paragraph" w:styleId="Footer">
    <w:name w:val="footer"/>
    <w:basedOn w:val="Normal"/>
    <w:link w:val="FooterChar"/>
    <w:uiPriority w:val="99"/>
    <w:unhideWhenUsed/>
    <w:rsid w:val="001B214A"/>
    <w:pPr>
      <w:tabs>
        <w:tab w:val="center" w:pos="4536"/>
        <w:tab w:val="right" w:pos="9072"/>
      </w:tabs>
      <w:spacing w:after="0" w:line="240" w:lineRule="auto"/>
    </w:pPr>
  </w:style>
  <w:style w:type="character" w:customStyle="1" w:styleId="FooterChar">
    <w:name w:val="Footer Char"/>
    <w:basedOn w:val="DefaultParagraphFont"/>
    <w:link w:val="Footer"/>
    <w:uiPriority w:val="99"/>
    <w:rsid w:val="001B214A"/>
  </w:style>
  <w:style w:type="paragraph" w:styleId="NoSpacing">
    <w:name w:val="No Spacing"/>
    <w:uiPriority w:val="1"/>
    <w:qFormat/>
    <w:rsid w:val="004340CF"/>
    <w:pPr>
      <w:spacing w:after="0" w:line="240" w:lineRule="auto"/>
    </w:pPr>
  </w:style>
  <w:style w:type="character" w:customStyle="1" w:styleId="ListParagraphChar">
    <w:name w:val="List Paragraph Char"/>
    <w:aliases w:val="içindekiler vb Char,LİSTE PARAF Char,KODLAMA Char,ALT BAŞLIK Char,Liste Paragraf 1 Char"/>
    <w:link w:val="ListParagraph"/>
    <w:uiPriority w:val="34"/>
    <w:qFormat/>
    <w:locked/>
    <w:rsid w:val="004C577D"/>
  </w:style>
  <w:style w:type="character" w:styleId="Emphasis">
    <w:name w:val="Emphasis"/>
    <w:aliases w:val="ekleme"/>
    <w:uiPriority w:val="20"/>
    <w:qFormat/>
    <w:rsid w:val="00A95545"/>
    <w:rPr>
      <w:rFonts w:ascii="Times New Roman" w:hAnsi="Times New Roman"/>
      <w:b w:val="0"/>
      <w:iCs/>
      <w:color w:val="0000FF"/>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99127">
      <w:bodyDiv w:val="1"/>
      <w:marLeft w:val="0"/>
      <w:marRight w:val="0"/>
      <w:marTop w:val="0"/>
      <w:marBottom w:val="0"/>
      <w:divBdr>
        <w:top w:val="none" w:sz="0" w:space="0" w:color="auto"/>
        <w:left w:val="none" w:sz="0" w:space="0" w:color="auto"/>
        <w:bottom w:val="none" w:sz="0" w:space="0" w:color="auto"/>
        <w:right w:val="none" w:sz="0" w:space="0" w:color="auto"/>
      </w:divBdr>
    </w:div>
    <w:div w:id="382753830">
      <w:bodyDiv w:val="1"/>
      <w:marLeft w:val="0"/>
      <w:marRight w:val="0"/>
      <w:marTop w:val="0"/>
      <w:marBottom w:val="0"/>
      <w:divBdr>
        <w:top w:val="none" w:sz="0" w:space="0" w:color="auto"/>
        <w:left w:val="none" w:sz="0" w:space="0" w:color="auto"/>
        <w:bottom w:val="none" w:sz="0" w:space="0" w:color="auto"/>
        <w:right w:val="none" w:sz="0" w:space="0" w:color="auto"/>
      </w:divBdr>
    </w:div>
    <w:div w:id="589315529">
      <w:bodyDiv w:val="1"/>
      <w:marLeft w:val="0"/>
      <w:marRight w:val="0"/>
      <w:marTop w:val="0"/>
      <w:marBottom w:val="0"/>
      <w:divBdr>
        <w:top w:val="none" w:sz="0" w:space="0" w:color="auto"/>
        <w:left w:val="none" w:sz="0" w:space="0" w:color="auto"/>
        <w:bottom w:val="none" w:sz="0" w:space="0" w:color="auto"/>
        <w:right w:val="none" w:sz="0" w:space="0" w:color="auto"/>
      </w:divBdr>
    </w:div>
    <w:div w:id="879511839">
      <w:bodyDiv w:val="1"/>
      <w:marLeft w:val="0"/>
      <w:marRight w:val="0"/>
      <w:marTop w:val="0"/>
      <w:marBottom w:val="0"/>
      <w:divBdr>
        <w:top w:val="none" w:sz="0" w:space="0" w:color="auto"/>
        <w:left w:val="none" w:sz="0" w:space="0" w:color="auto"/>
        <w:bottom w:val="none" w:sz="0" w:space="0" w:color="auto"/>
        <w:right w:val="none" w:sz="0" w:space="0" w:color="auto"/>
      </w:divBdr>
    </w:div>
    <w:div w:id="1074548846">
      <w:bodyDiv w:val="1"/>
      <w:marLeft w:val="0"/>
      <w:marRight w:val="0"/>
      <w:marTop w:val="0"/>
      <w:marBottom w:val="0"/>
      <w:divBdr>
        <w:top w:val="none" w:sz="0" w:space="0" w:color="auto"/>
        <w:left w:val="none" w:sz="0" w:space="0" w:color="auto"/>
        <w:bottom w:val="none" w:sz="0" w:space="0" w:color="auto"/>
        <w:right w:val="none" w:sz="0" w:space="0" w:color="auto"/>
      </w:divBdr>
    </w:div>
    <w:div w:id="1256983451">
      <w:bodyDiv w:val="1"/>
      <w:marLeft w:val="0"/>
      <w:marRight w:val="0"/>
      <w:marTop w:val="0"/>
      <w:marBottom w:val="0"/>
      <w:divBdr>
        <w:top w:val="none" w:sz="0" w:space="0" w:color="auto"/>
        <w:left w:val="none" w:sz="0" w:space="0" w:color="auto"/>
        <w:bottom w:val="none" w:sz="0" w:space="0" w:color="auto"/>
        <w:right w:val="none" w:sz="0" w:space="0" w:color="auto"/>
      </w:divBdr>
    </w:div>
    <w:div w:id="1481731393">
      <w:bodyDiv w:val="1"/>
      <w:marLeft w:val="0"/>
      <w:marRight w:val="0"/>
      <w:marTop w:val="0"/>
      <w:marBottom w:val="0"/>
      <w:divBdr>
        <w:top w:val="none" w:sz="0" w:space="0" w:color="auto"/>
        <w:left w:val="none" w:sz="0" w:space="0" w:color="auto"/>
        <w:bottom w:val="none" w:sz="0" w:space="0" w:color="auto"/>
        <w:right w:val="none" w:sz="0" w:space="0" w:color="auto"/>
      </w:divBdr>
    </w:div>
    <w:div w:id="1654945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9" ma:contentTypeDescription="Create a new document." ma:contentTypeScope="" ma:versionID="a25283bf9f748daf0edc4b582c0661e2">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4579575559436b84e1c3ab9a7957ea1e"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C4AA817-0752-4E27-86DC-A296F9561BF7}">
  <ds:schemaRefs>
    <ds:schemaRef ds:uri="http://schemas.openxmlformats.org/officeDocument/2006/bibliography"/>
  </ds:schemaRefs>
</ds:datastoreItem>
</file>

<file path=customXml/itemProps2.xml><?xml version="1.0" encoding="utf-8"?>
<ds:datastoreItem xmlns:ds="http://schemas.openxmlformats.org/officeDocument/2006/customXml" ds:itemID="{E8FC9B9E-7163-48E1-A1D3-8A72C7E451B5}"/>
</file>

<file path=customXml/itemProps3.xml><?xml version="1.0" encoding="utf-8"?>
<ds:datastoreItem xmlns:ds="http://schemas.openxmlformats.org/officeDocument/2006/customXml" ds:itemID="{EE6B6380-252B-43D8-94B3-3DCFB3F1049E}"/>
</file>

<file path=customXml/itemProps4.xml><?xml version="1.0" encoding="utf-8"?>
<ds:datastoreItem xmlns:ds="http://schemas.openxmlformats.org/officeDocument/2006/customXml" ds:itemID="{64088290-5BE8-4AB7-B73B-DADAAC5785B6}"/>
</file>

<file path=docProps/app.xml><?xml version="1.0" encoding="utf-8"?>
<Properties xmlns="http://schemas.openxmlformats.org/officeDocument/2006/extended-properties" xmlns:vt="http://schemas.openxmlformats.org/officeDocument/2006/docPropsVTypes">
  <Template>Normal</Template>
  <TotalTime>2</TotalTime>
  <Pages>18</Pages>
  <Words>7772</Words>
  <Characters>44301</Characters>
  <Application>Microsoft Office Word</Application>
  <DocSecurity>0</DocSecurity>
  <Lines>369</Lines>
  <Paragraphs>103</Paragraphs>
  <ScaleCrop>false</ScaleCrop>
  <HeadingPairs>
    <vt:vector size="2" baseType="variant">
      <vt:variant>
        <vt:lpstr>Konu Başlığı</vt:lpstr>
      </vt:variant>
      <vt:variant>
        <vt:i4>1</vt:i4>
      </vt:variant>
    </vt:vector>
  </HeadingPairs>
  <TitlesOfParts>
    <vt:vector size="1" baseType="lpstr">
      <vt:lpstr/>
    </vt:vector>
  </TitlesOfParts>
  <Company>Cevre ve Sehircilik Bakanligi</Company>
  <LinksUpToDate>false</LinksUpToDate>
  <CharactersWithSpaces>51970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Emel Ünal</dc:creator>
  <cp:lastModifiedBy>Ipek Gulkaya Tasgin</cp:lastModifiedBy>
  <cp:revision>3</cp:revision>
  <cp:lastPrinted>2022-10-03T07:58:00Z</cp:lastPrinted>
  <dcterms:created xsi:type="dcterms:W3CDTF">2022-10-20T16:38:00Z</dcterms:created>
  <dcterms:modified xsi:type="dcterms:W3CDTF">2022-11-24T12:01:00Z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