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jc w:val="center"/>
        <w:tblCellMar>
          <w:left w:w="0" w:type="dxa"/>
          <w:right w:w="0" w:type="dxa"/>
        </w:tblCellMar>
        <w:tblLook w:val="04A0" w:firstRow="1" w:lastRow="0" w:firstColumn="1" w:lastColumn="0" w:noHBand="0" w:noVBand="1"/>
      </w:tblPr>
      <w:tblGrid>
        <w:gridCol w:w="9072"/>
      </w:tblGrid>
      <w:tr w:rsidR="00663534" w:rsidRPr="00663534" w14:paraId="0096D871" w14:textId="77777777" w:rsidTr="00663534">
        <w:trPr>
          <w:jc w:val="center"/>
        </w:trPr>
        <w:tc>
          <w:tcPr>
            <w:tcW w:w="9104" w:type="dxa"/>
            <w:tcMar>
              <w:top w:w="0" w:type="dxa"/>
              <w:left w:w="108" w:type="dxa"/>
              <w:bottom w:w="0" w:type="dxa"/>
              <w:right w:w="108" w:type="dxa"/>
            </w:tcMar>
            <w:hideMark/>
          </w:tcPr>
          <w:tbl>
            <w:tblPr>
              <w:tblW w:w="8789" w:type="dxa"/>
              <w:jc w:val="center"/>
              <w:tblCellMar>
                <w:left w:w="0" w:type="dxa"/>
                <w:right w:w="0" w:type="dxa"/>
              </w:tblCellMar>
              <w:tblLook w:val="04A0" w:firstRow="1" w:lastRow="0" w:firstColumn="1" w:lastColumn="0" w:noHBand="0" w:noVBand="1"/>
            </w:tblPr>
            <w:tblGrid>
              <w:gridCol w:w="2931"/>
              <w:gridCol w:w="2931"/>
              <w:gridCol w:w="2927"/>
            </w:tblGrid>
            <w:tr w:rsidR="00663534" w:rsidRPr="00663534" w14:paraId="5ECCF255" w14:textId="77777777">
              <w:trPr>
                <w:trHeight w:val="317"/>
                <w:jc w:val="center"/>
              </w:trPr>
              <w:tc>
                <w:tcPr>
                  <w:tcW w:w="2931" w:type="dxa"/>
                  <w:tcBorders>
                    <w:top w:val="nil"/>
                    <w:left w:val="nil"/>
                    <w:bottom w:val="single" w:sz="8" w:space="0" w:color="660066"/>
                    <w:right w:val="nil"/>
                  </w:tcBorders>
                  <w:tcMar>
                    <w:top w:w="0" w:type="dxa"/>
                    <w:left w:w="108" w:type="dxa"/>
                    <w:bottom w:w="0" w:type="dxa"/>
                    <w:right w:w="108" w:type="dxa"/>
                  </w:tcMar>
                  <w:vAlign w:val="center"/>
                  <w:hideMark/>
                </w:tcPr>
                <w:p w14:paraId="242AE65C" w14:textId="577640DE" w:rsidR="00A93D14" w:rsidRDefault="00A93D14"/>
                <w:p w14:paraId="1CD416D0" w14:textId="77777777" w:rsidR="00663534" w:rsidRPr="00663534" w:rsidRDefault="00663534" w:rsidP="00663534">
                  <w:pPr>
                    <w:spacing w:after="0" w:line="240" w:lineRule="atLeast"/>
                    <w:rPr>
                      <w:rFonts w:ascii="Times New Roman" w:eastAsia="Times New Roman" w:hAnsi="Times New Roman" w:cs="Times New Roman"/>
                      <w:sz w:val="24"/>
                      <w:szCs w:val="24"/>
                    </w:rPr>
                  </w:pPr>
                  <w:r w:rsidRPr="00663534">
                    <w:rPr>
                      <w:rFonts w:ascii="Arial" w:eastAsia="Times New Roman" w:hAnsi="Arial" w:cs="Arial"/>
                      <w:sz w:val="16"/>
                      <w:szCs w:val="16"/>
                    </w:rPr>
                    <w:t>Thursday, April 15, 2021</w:t>
                  </w:r>
                </w:p>
              </w:tc>
              <w:tc>
                <w:tcPr>
                  <w:tcW w:w="2931" w:type="dxa"/>
                  <w:tcBorders>
                    <w:top w:val="nil"/>
                    <w:left w:val="nil"/>
                    <w:bottom w:val="single" w:sz="8" w:space="0" w:color="660066"/>
                    <w:right w:val="nil"/>
                  </w:tcBorders>
                  <w:tcMar>
                    <w:top w:w="0" w:type="dxa"/>
                    <w:left w:w="108" w:type="dxa"/>
                    <w:bottom w:w="0" w:type="dxa"/>
                    <w:right w:w="108" w:type="dxa"/>
                  </w:tcMar>
                  <w:vAlign w:val="center"/>
                  <w:hideMark/>
                </w:tcPr>
                <w:p w14:paraId="0F7BF6AB" w14:textId="77777777" w:rsidR="00663534" w:rsidRPr="00663534" w:rsidRDefault="00663534" w:rsidP="00663534">
                  <w:pPr>
                    <w:spacing w:after="0" w:line="240" w:lineRule="atLeast"/>
                    <w:jc w:val="center"/>
                    <w:rPr>
                      <w:rFonts w:ascii="Times New Roman" w:eastAsia="Times New Roman" w:hAnsi="Times New Roman" w:cs="Times New Roman"/>
                      <w:sz w:val="24"/>
                      <w:szCs w:val="24"/>
                    </w:rPr>
                  </w:pPr>
                  <w:r w:rsidRPr="00663534">
                    <w:rPr>
                      <w:rFonts w:ascii="Palatino Linotype" w:eastAsia="Times New Roman" w:hAnsi="Palatino Linotype" w:cs="Times New Roman"/>
                      <w:b/>
                      <w:bCs/>
                      <w:color w:val="800000"/>
                      <w:sz w:val="24"/>
                      <w:szCs w:val="24"/>
                    </w:rPr>
                    <w:t>Official newspaper</w:t>
                  </w:r>
                </w:p>
              </w:tc>
              <w:tc>
                <w:tcPr>
                  <w:tcW w:w="2927" w:type="dxa"/>
                  <w:tcBorders>
                    <w:top w:val="nil"/>
                    <w:left w:val="nil"/>
                    <w:bottom w:val="single" w:sz="8" w:space="0" w:color="660066"/>
                    <w:right w:val="nil"/>
                  </w:tcBorders>
                  <w:tcMar>
                    <w:top w:w="0" w:type="dxa"/>
                    <w:left w:w="108" w:type="dxa"/>
                    <w:bottom w:w="0" w:type="dxa"/>
                    <w:right w:w="108" w:type="dxa"/>
                  </w:tcMar>
                  <w:vAlign w:val="center"/>
                  <w:hideMark/>
                </w:tcPr>
                <w:p w14:paraId="21B2AE14" w14:textId="77777777" w:rsidR="00663534" w:rsidRPr="00663534" w:rsidRDefault="00663534" w:rsidP="00663534">
                  <w:pPr>
                    <w:spacing w:before="100" w:beforeAutospacing="1" w:after="100" w:afterAutospacing="1" w:line="240" w:lineRule="auto"/>
                    <w:jc w:val="right"/>
                    <w:rPr>
                      <w:rFonts w:ascii="Times New Roman" w:eastAsia="Times New Roman" w:hAnsi="Times New Roman" w:cs="Times New Roman"/>
                      <w:sz w:val="24"/>
                      <w:szCs w:val="24"/>
                    </w:rPr>
                  </w:pPr>
                  <w:r w:rsidRPr="00663534">
                    <w:rPr>
                      <w:rFonts w:ascii="Arial" w:eastAsia="Times New Roman" w:hAnsi="Arial" w:cs="Arial"/>
                      <w:sz w:val="16"/>
                      <w:szCs w:val="16"/>
                    </w:rPr>
                    <w:t>Number : 31455</w:t>
                  </w:r>
                </w:p>
              </w:tc>
            </w:tr>
            <w:tr w:rsidR="00663534" w:rsidRPr="00663534" w14:paraId="0B828210" w14:textId="77777777">
              <w:trPr>
                <w:trHeight w:val="480"/>
                <w:jc w:val="center"/>
              </w:trPr>
              <w:tc>
                <w:tcPr>
                  <w:tcW w:w="8789" w:type="dxa"/>
                  <w:gridSpan w:val="3"/>
                  <w:tcMar>
                    <w:top w:w="0" w:type="dxa"/>
                    <w:left w:w="108" w:type="dxa"/>
                    <w:bottom w:w="0" w:type="dxa"/>
                    <w:right w:w="108" w:type="dxa"/>
                  </w:tcMar>
                  <w:vAlign w:val="center"/>
                  <w:hideMark/>
                </w:tcPr>
                <w:p w14:paraId="77798223" w14:textId="77777777" w:rsidR="00663534" w:rsidRPr="00663534" w:rsidRDefault="00663534" w:rsidP="00663534">
                  <w:pPr>
                    <w:spacing w:before="100" w:beforeAutospacing="1" w:after="100" w:afterAutospacing="1" w:line="240" w:lineRule="auto"/>
                    <w:jc w:val="center"/>
                    <w:rPr>
                      <w:rFonts w:ascii="Times New Roman" w:eastAsia="Times New Roman" w:hAnsi="Times New Roman" w:cs="Times New Roman"/>
                      <w:sz w:val="24"/>
                      <w:szCs w:val="24"/>
                    </w:rPr>
                  </w:pPr>
                  <w:r w:rsidRPr="00663534">
                    <w:rPr>
                      <w:rFonts w:ascii="Arial" w:eastAsia="Times New Roman" w:hAnsi="Arial" w:cs="Arial"/>
                      <w:b/>
                      <w:bCs/>
                      <w:color w:val="000080"/>
                      <w:sz w:val="18"/>
                      <w:szCs w:val="18"/>
                    </w:rPr>
                    <w:t>REGULATION</w:t>
                  </w:r>
                </w:p>
              </w:tc>
            </w:tr>
            <w:tr w:rsidR="00663534" w:rsidRPr="00663534" w14:paraId="782D3475" w14:textId="77777777">
              <w:trPr>
                <w:trHeight w:val="480"/>
                <w:jc w:val="center"/>
              </w:trPr>
              <w:tc>
                <w:tcPr>
                  <w:tcW w:w="8789" w:type="dxa"/>
                  <w:gridSpan w:val="3"/>
                  <w:tcMar>
                    <w:top w:w="0" w:type="dxa"/>
                    <w:left w:w="108" w:type="dxa"/>
                    <w:bottom w:w="0" w:type="dxa"/>
                    <w:right w:w="108" w:type="dxa"/>
                  </w:tcMar>
                  <w:vAlign w:val="center"/>
                  <w:hideMark/>
                </w:tcPr>
                <w:p w14:paraId="28C45158" w14:textId="77777777" w:rsidR="00663534" w:rsidRPr="00663534" w:rsidRDefault="00663534" w:rsidP="00663534">
                  <w:pPr>
                    <w:spacing w:after="0" w:line="240" w:lineRule="atLeast"/>
                    <w:ind w:firstLine="566"/>
                    <w:jc w:val="both"/>
                    <w:rPr>
                      <w:rFonts w:ascii="Times New Roman" w:eastAsia="Times New Roman" w:hAnsi="Times New Roman" w:cs="Times New Roman"/>
                      <w:u w:val="single"/>
                    </w:rPr>
                  </w:pPr>
                  <w:r w:rsidRPr="00663534">
                    <w:rPr>
                      <w:rFonts w:ascii="Times New Roman" w:eastAsia="Times New Roman" w:hAnsi="Times New Roman" w:cs="Times New Roman"/>
                      <w:sz w:val="18"/>
                      <w:szCs w:val="18"/>
                      <w:u w:val="single"/>
                    </w:rPr>
                    <w:t>From the Ministry of Environment and Urbanization:</w:t>
                  </w:r>
                </w:p>
                <w:p w14:paraId="0E7152EC" w14:textId="77777777" w:rsidR="00663534" w:rsidRPr="00663534" w:rsidRDefault="00663534" w:rsidP="00663534">
                  <w:pPr>
                    <w:spacing w:before="56" w:after="0" w:line="240" w:lineRule="atLeast"/>
                    <w:jc w:val="center"/>
                    <w:rPr>
                      <w:rFonts w:ascii="Times New Roman" w:eastAsia="Times New Roman" w:hAnsi="Times New Roman" w:cs="Times New Roman"/>
                      <w:b/>
                      <w:bCs/>
                      <w:sz w:val="19"/>
                      <w:szCs w:val="19"/>
                    </w:rPr>
                  </w:pPr>
                  <w:r w:rsidRPr="00663534">
                    <w:rPr>
                      <w:rFonts w:ascii="Times New Roman" w:eastAsia="Times New Roman" w:hAnsi="Times New Roman" w:cs="Times New Roman"/>
                      <w:b/>
                      <w:bCs/>
                      <w:sz w:val="18"/>
                      <w:szCs w:val="18"/>
                    </w:rPr>
                    <w:t>ORGANIZATION AND WORKING PROCEDURE OF TURKISH ENVIRONMENTAL AGENCY AND</w:t>
                  </w:r>
                </w:p>
                <w:p w14:paraId="2C86D2D2" w14:textId="77777777" w:rsidR="00663534" w:rsidRPr="00663534" w:rsidRDefault="00663534" w:rsidP="00663534">
                  <w:pPr>
                    <w:spacing w:after="0" w:line="240" w:lineRule="atLeast"/>
                    <w:jc w:val="center"/>
                    <w:rPr>
                      <w:rFonts w:ascii="Times New Roman" w:eastAsia="Times New Roman" w:hAnsi="Times New Roman" w:cs="Times New Roman"/>
                      <w:b/>
                      <w:bCs/>
                      <w:sz w:val="19"/>
                      <w:szCs w:val="19"/>
                    </w:rPr>
                  </w:pPr>
                  <w:r w:rsidRPr="00663534">
                    <w:rPr>
                      <w:rFonts w:ascii="Times New Roman" w:eastAsia="Times New Roman" w:hAnsi="Times New Roman" w:cs="Times New Roman"/>
                      <w:b/>
                      <w:bCs/>
                      <w:sz w:val="18"/>
                      <w:szCs w:val="18"/>
                    </w:rPr>
                    <w:t>REGULATION ON THE PRINCIPLES</w:t>
                  </w:r>
                </w:p>
                <w:p w14:paraId="4B5286C6" w14:textId="77777777" w:rsidR="00663534" w:rsidRPr="00663534" w:rsidRDefault="00663534" w:rsidP="00663534">
                  <w:pPr>
                    <w:spacing w:after="0" w:line="240" w:lineRule="atLeast"/>
                    <w:jc w:val="center"/>
                    <w:rPr>
                      <w:rFonts w:ascii="Times New Roman" w:eastAsia="Times New Roman" w:hAnsi="Times New Roman" w:cs="Times New Roman"/>
                      <w:b/>
                      <w:bCs/>
                      <w:sz w:val="19"/>
                      <w:szCs w:val="19"/>
                    </w:rPr>
                  </w:pPr>
                </w:p>
                <w:p w14:paraId="38093485" w14:textId="77777777" w:rsidR="00663534" w:rsidRPr="00663534" w:rsidRDefault="00663534" w:rsidP="00663534">
                  <w:pPr>
                    <w:spacing w:after="0" w:line="240" w:lineRule="atLeast"/>
                    <w:jc w:val="center"/>
                    <w:rPr>
                      <w:rFonts w:ascii="Times New Roman" w:eastAsia="Times New Roman" w:hAnsi="Times New Roman" w:cs="Times New Roman"/>
                      <w:b/>
                      <w:bCs/>
                      <w:sz w:val="19"/>
                      <w:szCs w:val="19"/>
                    </w:rPr>
                  </w:pPr>
                  <w:r w:rsidRPr="00663534">
                    <w:rPr>
                      <w:rFonts w:ascii="Times New Roman" w:eastAsia="Times New Roman" w:hAnsi="Times New Roman" w:cs="Times New Roman"/>
                      <w:b/>
                      <w:bCs/>
                      <w:sz w:val="18"/>
                      <w:szCs w:val="18"/>
                    </w:rPr>
                    <w:t>FIRST PART</w:t>
                  </w:r>
                </w:p>
                <w:p w14:paraId="54309CF2" w14:textId="77777777" w:rsidR="00663534" w:rsidRPr="00663534" w:rsidRDefault="00663534" w:rsidP="00663534">
                  <w:pPr>
                    <w:spacing w:after="0" w:line="240" w:lineRule="atLeast"/>
                    <w:jc w:val="center"/>
                    <w:rPr>
                      <w:rFonts w:ascii="Times New Roman" w:eastAsia="Times New Roman" w:hAnsi="Times New Roman" w:cs="Times New Roman"/>
                      <w:b/>
                      <w:bCs/>
                      <w:sz w:val="19"/>
                      <w:szCs w:val="19"/>
                    </w:rPr>
                  </w:pPr>
                  <w:r w:rsidRPr="00663534">
                    <w:rPr>
                      <w:rFonts w:ascii="Times New Roman" w:eastAsia="Times New Roman" w:hAnsi="Times New Roman" w:cs="Times New Roman"/>
                      <w:b/>
                      <w:bCs/>
                      <w:sz w:val="18"/>
                      <w:szCs w:val="18"/>
                    </w:rPr>
                    <w:t>Purpose, Scope, Basis and Definitions</w:t>
                  </w:r>
                </w:p>
                <w:p w14:paraId="6801C674" w14:textId="77777777" w:rsidR="00663534" w:rsidRPr="00663534" w:rsidRDefault="00663534" w:rsidP="00663534">
                  <w:pPr>
                    <w:spacing w:after="0" w:line="240" w:lineRule="atLeast"/>
                    <w:ind w:firstLine="566"/>
                    <w:jc w:val="center"/>
                    <w:rPr>
                      <w:rFonts w:ascii="Times New Roman" w:eastAsia="Times New Roman" w:hAnsi="Times New Roman" w:cs="Times New Roman"/>
                      <w:sz w:val="19"/>
                      <w:szCs w:val="19"/>
                    </w:rPr>
                  </w:pPr>
                </w:p>
                <w:p w14:paraId="2727487A"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Aim</w:t>
                  </w:r>
                </w:p>
                <w:p w14:paraId="29143F39"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1 –</w:t>
                  </w:r>
                  <w:r w:rsidRPr="00663534">
                    <w:rPr>
                      <w:rFonts w:ascii="Times New Roman" w:eastAsia="Times New Roman" w:hAnsi="Times New Roman" w:cs="Times New Roman"/>
                      <w:sz w:val="18"/>
                      <w:szCs w:val="18"/>
                    </w:rPr>
                    <w:t>(1) The purpose of this Regulation is to regulate the procedures and principles regarding the timely and proper fulfillment of the activities to be carried out by the Turkish Environment Agency, the determination of the duties and jurisdictions of the organs and service units, the appointment of the members of the board of directors and advisory boards, the employment of personnel and the organizational structure and work.</w:t>
                  </w:r>
                </w:p>
                <w:p w14:paraId="08CA2B74"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Scope</w:t>
                  </w:r>
                </w:p>
                <w:p w14:paraId="4EF1A807"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2 –</w:t>
                  </w:r>
                  <w:r w:rsidRPr="00663534">
                    <w:rPr>
                      <w:rFonts w:ascii="Times New Roman" w:eastAsia="Times New Roman" w:hAnsi="Times New Roman" w:cs="Times New Roman"/>
                      <w:sz w:val="18"/>
                      <w:szCs w:val="18"/>
                    </w:rPr>
                    <w:t>(1) This Regulation covers the duties and authorities, organizational structure, qualifications of the personnel to be employed, and working procedures and principles of the Turkish Environment Agency.</w:t>
                  </w:r>
                </w:p>
                <w:p w14:paraId="27C7F8CC"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Rest</w:t>
                  </w:r>
                </w:p>
                <w:p w14:paraId="3DA0854C"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3 –</w:t>
                  </w:r>
                  <w:r w:rsidRPr="00663534">
                    <w:rPr>
                      <w:rFonts w:ascii="Times New Roman" w:eastAsia="Times New Roman" w:hAnsi="Times New Roman" w:cs="Times New Roman"/>
                      <w:sz w:val="18"/>
                      <w:szCs w:val="18"/>
                    </w:rPr>
                    <w:t>(1) This Regulation; It has been prepared on the basis of the fifth paragraph of the 5th article and the 10th article of the Law on the Establishment of the Turkish Environment Agency dated 24/12/2020 and numbered 7261 and the Amendment of Certain Laws.</w:t>
                  </w:r>
                </w:p>
                <w:p w14:paraId="5226909F"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Definitions</w:t>
                  </w:r>
                </w:p>
                <w:p w14:paraId="2C86FFB3"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4 –</w:t>
                  </w:r>
                  <w:r w:rsidRPr="00663534">
                    <w:rPr>
                      <w:rFonts w:ascii="Times New Roman" w:eastAsia="Times New Roman" w:hAnsi="Times New Roman" w:cs="Times New Roman"/>
                      <w:sz w:val="18"/>
                      <w:szCs w:val="18"/>
                    </w:rPr>
                    <w:t>(1) In this Regulation;</w:t>
                  </w:r>
                </w:p>
                <w:p w14:paraId="520C4AFF"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a) Agency: Turkish Environment Agency (TÜÇA),</w:t>
                  </w:r>
                </w:p>
                <w:p w14:paraId="3CA5F1BA"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b) Minister: Minister of Environment and Urbanization,</w:t>
                  </w:r>
                </w:p>
                <w:p w14:paraId="45374549"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c) Ministry: The Ministry of Environment and Urbanization,</w:t>
                  </w:r>
                </w:p>
                <w:p w14:paraId="7469DDC1"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ç) Chairman: The President of the Agency,</w:t>
                  </w:r>
                </w:p>
                <w:p w14:paraId="1C6D25F5"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d) Vice President: Agency Vice President,</w:t>
                  </w:r>
                </w:p>
                <w:p w14:paraId="2255F0C3"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e) Presidency: The body consisting of the Agency President and two vice presidents and service units,</w:t>
                  </w:r>
                </w:p>
                <w:p w14:paraId="56022AA0"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f) Advisory Board: The board formed to advise and advise the Board of Directors,</w:t>
                  </w:r>
                </w:p>
                <w:p w14:paraId="2C2A2866"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g) Deposit management system: A system based on the return and reimbursement of the deposit after the consumption/use of the products determined by the Ministry and released to the market with a certain deposit fee,</w:t>
                  </w:r>
                </w:p>
                <w:p w14:paraId="685C9696"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ğ) Law: Law on the Establishment of the Turkish Environment Agency and the Amendment of Certain Laws, dated 24/12/2020 and numbered 7261,</w:t>
                  </w:r>
                </w:p>
                <w:p w14:paraId="4309E7E9"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h) Personnel: Personnel working in the agency,</w:t>
                  </w:r>
                </w:p>
                <w:p w14:paraId="6E12B34D"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ı) Board of Directors: The board, which is the decision-making body of the agency,</w:t>
                  </w:r>
                </w:p>
                <w:p w14:paraId="5E75931F"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proofErr w:type="spellStart"/>
                  <w:r w:rsidRPr="00663534">
                    <w:rPr>
                      <w:rFonts w:ascii="Times New Roman" w:eastAsia="Times New Roman" w:hAnsi="Times New Roman" w:cs="Times New Roman"/>
                      <w:sz w:val="18"/>
                      <w:szCs w:val="18"/>
                    </w:rPr>
                    <w:t>i</w:t>
                  </w:r>
                  <w:proofErr w:type="spellEnd"/>
                  <w:r w:rsidRPr="00663534">
                    <w:rPr>
                      <w:rFonts w:ascii="Times New Roman" w:eastAsia="Times New Roman" w:hAnsi="Times New Roman" w:cs="Times New Roman"/>
                      <w:sz w:val="18"/>
                      <w:szCs w:val="18"/>
                    </w:rPr>
                    <w:t>) Administrative personnel: Unit chiefs working in the agency,</w:t>
                  </w:r>
                </w:p>
                <w:p w14:paraId="5F99F9BB"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means.</w:t>
                  </w:r>
                </w:p>
                <w:p w14:paraId="310E633C" w14:textId="77777777" w:rsidR="00663534" w:rsidRPr="00663534" w:rsidRDefault="00663534" w:rsidP="00663534">
                  <w:pPr>
                    <w:spacing w:after="0" w:line="240" w:lineRule="atLeast"/>
                    <w:jc w:val="center"/>
                    <w:rPr>
                      <w:rFonts w:ascii="Times New Roman" w:eastAsia="Times New Roman" w:hAnsi="Times New Roman" w:cs="Times New Roman"/>
                      <w:b/>
                      <w:bCs/>
                      <w:sz w:val="19"/>
                      <w:szCs w:val="19"/>
                    </w:rPr>
                  </w:pPr>
                  <w:r w:rsidRPr="00663534">
                    <w:rPr>
                      <w:rFonts w:ascii="Times New Roman" w:eastAsia="Times New Roman" w:hAnsi="Times New Roman" w:cs="Times New Roman"/>
                      <w:b/>
                      <w:bCs/>
                      <w:sz w:val="18"/>
                      <w:szCs w:val="18"/>
                    </w:rPr>
                    <w:t>SECOND PART</w:t>
                  </w:r>
                </w:p>
                <w:p w14:paraId="1001C8A5" w14:textId="77777777" w:rsidR="00663534" w:rsidRPr="00663534" w:rsidRDefault="00663534" w:rsidP="00663534">
                  <w:pPr>
                    <w:spacing w:after="0" w:line="240" w:lineRule="atLeast"/>
                    <w:jc w:val="center"/>
                    <w:rPr>
                      <w:rFonts w:ascii="Times New Roman" w:eastAsia="Times New Roman" w:hAnsi="Times New Roman" w:cs="Times New Roman"/>
                      <w:b/>
                      <w:bCs/>
                      <w:sz w:val="19"/>
                      <w:szCs w:val="19"/>
                    </w:rPr>
                  </w:pPr>
                  <w:r w:rsidRPr="00663534">
                    <w:rPr>
                      <w:rFonts w:ascii="Times New Roman" w:eastAsia="Times New Roman" w:hAnsi="Times New Roman" w:cs="Times New Roman"/>
                      <w:b/>
                      <w:bCs/>
                      <w:sz w:val="18"/>
                      <w:szCs w:val="18"/>
                    </w:rPr>
                    <w:t>Organizational Structure</w:t>
                  </w:r>
                </w:p>
                <w:p w14:paraId="2F7B1F3C"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Organs and units of the agency</w:t>
                  </w:r>
                </w:p>
                <w:p w14:paraId="216A0A9A"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5 –</w:t>
                  </w:r>
                  <w:r w:rsidRPr="00663534">
                    <w:rPr>
                      <w:rFonts w:ascii="Times New Roman" w:eastAsia="Times New Roman" w:hAnsi="Times New Roman" w:cs="Times New Roman"/>
                      <w:sz w:val="18"/>
                      <w:szCs w:val="18"/>
                    </w:rPr>
                    <w:t>(1) The organs and units of the Agency are as follows:</w:t>
                  </w:r>
                </w:p>
                <w:p w14:paraId="7C258C8F"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a) Board of Directors.</w:t>
                  </w:r>
                </w:p>
                <w:p w14:paraId="478E4941"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b) Advisory Board.</w:t>
                  </w:r>
                </w:p>
                <w:p w14:paraId="389D0D78"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c) Presidency.</w:t>
                  </w:r>
                </w:p>
                <w:p w14:paraId="7C1A79AD"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ç) Service units required for the Agency to fulfill its duties.</w:t>
                  </w:r>
                </w:p>
                <w:p w14:paraId="1EBACDD2"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Structure and composition of the Board of Directors</w:t>
                  </w:r>
                </w:p>
                <w:p w14:paraId="7F76C162"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6 –</w:t>
                  </w:r>
                  <w:r w:rsidRPr="00663534">
                    <w:rPr>
                      <w:rFonts w:ascii="Times New Roman" w:eastAsia="Times New Roman" w:hAnsi="Times New Roman" w:cs="Times New Roman"/>
                      <w:sz w:val="18"/>
                      <w:szCs w:val="18"/>
                    </w:rPr>
                    <w:t>(1) Board of Directors; It is the decision making body of the agency and consists of seven members.</w:t>
                  </w:r>
                </w:p>
                <w:p w14:paraId="09E5D37A"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(2) Members of the Board of Directors must have the following qualifications:</w:t>
                  </w:r>
                </w:p>
                <w:p w14:paraId="50EEA0FF"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a) To meet the conditions in subparagraph (A) of the first paragraph of Article 48 of the Civil Servants Law dated 14/7/1965 and numbered 657.</w:t>
                  </w:r>
                </w:p>
                <w:p w14:paraId="6DA340E2"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b) To have completed at least four years of higher education.</w:t>
                  </w:r>
                </w:p>
                <w:p w14:paraId="2AFD0DAC"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c) To have worked in public institutions and organizations or private organizations for at least five years in matters related to their profession.</w:t>
                  </w:r>
                </w:p>
                <w:p w14:paraId="490244CB"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lastRenderedPageBreak/>
                    <w:t>ç) To have sufficient professional knowledge and experience.</w:t>
                  </w:r>
                </w:p>
                <w:p w14:paraId="7715FA42"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d) Not to be bankrupt as of the date of assignment and not to be the authorized representative and binding manager of a legal entity whose bankruptcy has been decided at the time the bankruptcy application is filed.</w:t>
                  </w:r>
                </w:p>
                <w:p w14:paraId="212EA001"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e) Even if the periods specified in Article 53 of the Turkish Penal Code dated 26/9/2004 and numbered 5237 have passed; crimes against the security of the State, crimes against the constitutional order and the functioning of this order, embezzlement, extortion, bribery, theft, fraud, forgery, breach of trust, fraudulent bankruptcy, bid rigging, rigging, laundering property values ​​arising from crime, financing of terrorism, smuggling, crimes against sexual immunity, prostitution, facilitating the use of drugs and stimulants, buying, accepting or possessing drugs or stimulants for use, or Not to be convicted of using drugs or stimulants.</w:t>
                  </w:r>
                </w:p>
                <w:p w14:paraId="14BCFABE"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(3) Members of the Board of Directors are appointed by the Minister for a period of three years. Members can be reassigned. Members whose term of office expires continue to serve until the new member takes office. Members are dismissed by the Minister when necessary or if it is determined that they do not meet the terms of assignment specified in the second paragraph or that they have subsequently lost them.</w:t>
                  </w:r>
                </w:p>
                <w:p w14:paraId="30EBFD3A"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(4) In the event that the membership of the Board of Directors becomes vacant for any reason, assignments are made by the Minister within two months at the latest for the vacant memberships.</w:t>
                  </w:r>
                </w:p>
                <w:p w14:paraId="685E685E"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Duties of the Board of Directors</w:t>
                  </w:r>
                </w:p>
                <w:p w14:paraId="08D6D73C"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7 –</w:t>
                  </w:r>
                  <w:r w:rsidRPr="00663534">
                    <w:rPr>
                      <w:rFonts w:ascii="Times New Roman" w:eastAsia="Times New Roman" w:hAnsi="Times New Roman" w:cs="Times New Roman"/>
                      <w:sz w:val="18"/>
                      <w:szCs w:val="18"/>
                    </w:rPr>
                    <w:t>(1) The Board of Directors fulfills the following duties in line with the environmental strategies and policies determined by the Ministry:</w:t>
                  </w:r>
                </w:p>
                <w:p w14:paraId="350BE0A7"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a) To decide on the budget of the Agency, its annual program, projects and other transactions for which expenditures extending to years will be made, and submit the Agency's budget to the Minister for approval.</w:t>
                  </w:r>
                </w:p>
                <w:p w14:paraId="23B647ED"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b) To approve the semi-annual interim report and annual activity report prepared on the activities of the Agency and to send a copy to the Ministry.</w:t>
                  </w:r>
                </w:p>
                <w:p w14:paraId="22F22019"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c) To determine the content of the activity reports to be published by the Agency.</w:t>
                  </w:r>
                </w:p>
                <w:p w14:paraId="3DC6201F"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ç) To decide on the transfer of appropriations and the addition of appropriations and submitting the appropriation addition to the approval of the Minister.</w:t>
                  </w:r>
                </w:p>
                <w:p w14:paraId="74CB1236"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d) To appoint the President and Vice Presidents of the Agency.</w:t>
                  </w:r>
                </w:p>
                <w:p w14:paraId="2D86905D"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e) To appoint the manager and other personnel to be employed in the agency.</w:t>
                  </w:r>
                </w:p>
                <w:p w14:paraId="1E5D053F"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f) To take a decision to assign the personnel of other public institutions and organizations to the Agency in accordance with the additional article 25 of the Decree-Law dated 27/6/1989 and numbered 375.</w:t>
                  </w:r>
                </w:p>
                <w:p w14:paraId="719F03F9"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g) To establish and remove required research and application centers, laboratories and museums upon the proposal of the President of the Agency.</w:t>
                  </w:r>
                </w:p>
                <w:p w14:paraId="7C68493C"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ğ) To decide on the Agency's personnel cadres, numbers and the proposals of the Presidency regarding the wages they will receive, to be submitted to the relevant authorities.</w:t>
                  </w:r>
                </w:p>
                <w:p w14:paraId="47CE84A6"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h) To decide on the Agency's personnel performance evaluation criteria, the payments to be made within the scope of these evaluations, job descriptions and positions corresponding to the task upon the proposal of the Presidency.</w:t>
                  </w:r>
                </w:p>
                <w:p w14:paraId="58C3A5E7"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ı) To carry out transactions related to the purchase, construction, sale and rental of immovables needed to fulfill its duties.</w:t>
                  </w:r>
                </w:p>
                <w:p w14:paraId="64C06156"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proofErr w:type="spellStart"/>
                  <w:r w:rsidRPr="00663534">
                    <w:rPr>
                      <w:rFonts w:ascii="Times New Roman" w:eastAsia="Times New Roman" w:hAnsi="Times New Roman" w:cs="Times New Roman"/>
                      <w:sz w:val="18"/>
                      <w:szCs w:val="18"/>
                    </w:rPr>
                    <w:t>i</w:t>
                  </w:r>
                  <w:proofErr w:type="spellEnd"/>
                  <w:r w:rsidRPr="00663534">
                    <w:rPr>
                      <w:rFonts w:ascii="Times New Roman" w:eastAsia="Times New Roman" w:hAnsi="Times New Roman" w:cs="Times New Roman"/>
                      <w:sz w:val="18"/>
                      <w:szCs w:val="18"/>
                    </w:rPr>
                    <w:t>) To accept donations and aids.</w:t>
                  </w:r>
                </w:p>
                <w:p w14:paraId="436318F4"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j) To determine the financial support to be made by the Agency.</w:t>
                  </w:r>
                </w:p>
                <w:p w14:paraId="4BC11405"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k) To take the necessary decisions regarding the internal audit of the agency.</w:t>
                  </w:r>
                </w:p>
                <w:p w14:paraId="4929D351"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l) To discuss and decide on the administrative regulations regarding agency activities.</w:t>
                  </w:r>
                </w:p>
                <w:p w14:paraId="649C998C"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m) To take decisions regarding other works and transactions given to him within the scope of the law and relevant legislation.</w:t>
                  </w:r>
                </w:p>
                <w:p w14:paraId="66BB88DE"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n) To decide to open or close a representative office in the country.</w:t>
                  </w:r>
                </w:p>
                <w:p w14:paraId="437E93E6"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(2) The Board of Directors may delegate some of the powers specified in the first paragraph to the President of the Agency, provided that it is in writing and clearly defines its limits.</w:t>
                  </w:r>
                </w:p>
                <w:p w14:paraId="69FCC3EE"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(3) Subparagraphs (d), (e) and (f) of the first paragraph are implemented by obtaining the assent of the Minister.</w:t>
                  </w:r>
                </w:p>
                <w:p w14:paraId="20F57873"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Working principles of the Board of Directors</w:t>
                  </w:r>
                </w:p>
                <w:p w14:paraId="041A9857"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8 –</w:t>
                  </w:r>
                  <w:r w:rsidRPr="00663534">
                    <w:rPr>
                      <w:rFonts w:ascii="Times New Roman" w:eastAsia="Times New Roman" w:hAnsi="Times New Roman" w:cs="Times New Roman"/>
                      <w:sz w:val="18"/>
                      <w:szCs w:val="18"/>
                    </w:rPr>
                    <w:t>(1) The Chairman and Deputy Chairman of the Board of Directors are elected from among the members of the Board of Directors by the absolute majority of the total number of members at the first meeting.</w:t>
                  </w:r>
                </w:p>
                <w:p w14:paraId="0B52FCCD"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(2) The Board of Directors convenes at least once a month upon the call of the Chairman of the Board of Directors.</w:t>
                  </w:r>
                </w:p>
                <w:p w14:paraId="09B90AFC"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(3) The Board of Directors convenes under the chairmanship of the Chairman of the Board of Directors. The Vice Chairman of the Board of Directors chairs the meetings in which the Chairman of the Board of Directors cannot attend.</w:t>
                  </w:r>
                </w:p>
                <w:p w14:paraId="1AE7161A"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(4) The meeting agenda and time are determined by the Chairman of the Board of Directors and are notified to all members at least three days before the meeting date. Matters not included in the meeting agenda can be put on the agenda by the Chairman of the Board of Directors.</w:t>
                  </w:r>
                </w:p>
                <w:p w14:paraId="2E47B1E6"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lastRenderedPageBreak/>
                    <w:t>(5) The Chairman of the Board of Directors may call an extraordinary meeting of the Board of Directors when he deems it necessary.</w:t>
                  </w:r>
                </w:p>
                <w:p w14:paraId="0F807EDA"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(6) Meetings are mainly held at the Agency's headquarters. If necessary, the Chairman of the Board of Directors may decide to hold a meeting in places other than the Agency's headquarters or electronically by taking the necessary precautions.</w:t>
                  </w:r>
                </w:p>
                <w:p w14:paraId="4F8F30CF"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(7) The Board of Directors takes its decisions with the absolute majority of the total number of members. It is not possible to abstain from voting. The dissenting member writes the reason for the dissenting vote under the decision and signs it.</w:t>
                  </w:r>
                </w:p>
                <w:p w14:paraId="43505735"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(8) If the duties of the President of the Agency and the Chairman of the Board of Directors are held by separate persons, the President of the Agency attends the meetings of the Board of Directors without the right to vote.</w:t>
                  </w:r>
                </w:p>
                <w:p w14:paraId="7C2E5634"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Composition of the Advisory Board</w:t>
                  </w:r>
                </w:p>
                <w:p w14:paraId="18AE13CF"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9 –</w:t>
                  </w:r>
                  <w:r w:rsidRPr="00663534">
                    <w:rPr>
                      <w:rFonts w:ascii="Times New Roman" w:eastAsia="Times New Roman" w:hAnsi="Times New Roman" w:cs="Times New Roman"/>
                      <w:sz w:val="18"/>
                      <w:szCs w:val="18"/>
                    </w:rPr>
                    <w:t>(1) The Advisory Board consists of eleven members appointed by the Minister from among the people who have come to the fore in the Agency's fields of activity, as well as academicians, employees of private and public institutions and organizations, in order to advise and advise the Board of Directors.</w:t>
                  </w:r>
                </w:p>
                <w:p w14:paraId="693ABD0B"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(2) The term of office of the members is three years. Members can be reassigned. Members may be dismissed by the Minister before the expiry of the term, if necessary.</w:t>
                  </w:r>
                </w:p>
                <w:p w14:paraId="0D734ED4"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(3) In case the Advisory Board memberships become vacant for any reason, assignments are made by the Minister within two months at the latest for the vacant memberships.</w:t>
                  </w:r>
                </w:p>
                <w:p w14:paraId="1BA3C9D9"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(4) Advisory Board; It elects a Chairman from among its members and a Deputy Chairman to serve in the absence of the Chairman.</w:t>
                  </w:r>
                </w:p>
                <w:p w14:paraId="75835176"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Duties of the Advisory Board</w:t>
                  </w:r>
                </w:p>
                <w:p w14:paraId="49D90E95"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10 –</w:t>
                  </w:r>
                  <w:r w:rsidRPr="00663534">
                    <w:rPr>
                      <w:rFonts w:ascii="Times New Roman" w:eastAsia="Times New Roman" w:hAnsi="Times New Roman" w:cs="Times New Roman"/>
                      <w:sz w:val="18"/>
                      <w:szCs w:val="18"/>
                    </w:rPr>
                    <w:t>(1) The duties of the Advisory Board are as follows:</w:t>
                  </w:r>
                </w:p>
                <w:p w14:paraId="27114791"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a) To make examinations, to form opinions and to make suggestions regarding the issues requested by the Agency.</w:t>
                  </w:r>
                </w:p>
                <w:p w14:paraId="5CF34C8E"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b) To make recommendations regarding the promotion of the Agency, its priorities, environmental problems and solution proposals.</w:t>
                  </w:r>
                </w:p>
                <w:p w14:paraId="7CCCDD57"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c) To make recommendations regarding the support of scientific studies in the fields that the Agency may need.</w:t>
                  </w:r>
                </w:p>
                <w:p w14:paraId="5A54592D"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ç) To make suggestions for the determination of the targets related to the activity areas of the Agency.</w:t>
                  </w:r>
                </w:p>
                <w:p w14:paraId="70EDF5E0"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Working principles of the Advisory Board</w:t>
                  </w:r>
                </w:p>
                <w:p w14:paraId="73FE8D1B"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11 –</w:t>
                  </w:r>
                  <w:r w:rsidRPr="00663534">
                    <w:rPr>
                      <w:rFonts w:ascii="Times New Roman" w:eastAsia="Times New Roman" w:hAnsi="Times New Roman" w:cs="Times New Roman"/>
                      <w:sz w:val="18"/>
                      <w:szCs w:val="18"/>
                    </w:rPr>
                    <w:t>(1) The Advisory Board convenes at least twice a year. Apart from the ordinary meeting, the Advisory Board may be called for a separate meeting upon the written request of the Chairman of the Advisory Board or the Board of Directors, if deemed necessary.</w:t>
                  </w:r>
                </w:p>
                <w:p w14:paraId="07783308"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(2) The Chairman and Deputy Chairman of the Advisory Board are elected from among the members of the Advisory Board with the absolute majority of the total number of members at the first meeting.</w:t>
                  </w:r>
                </w:p>
                <w:p w14:paraId="294A74E0"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(3) The meeting agenda, place and time are determined by the Chairman of the Advisory Board and are notified to all members at least three days before the meeting date.</w:t>
                  </w:r>
                </w:p>
                <w:p w14:paraId="28728D58"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(4) Representatives of persons or institutions and organizations, whose knowledge, experience and expertise are deemed to be beneficial by the Advisory Board, may be invited to the meeting or their opinions may be taken.</w:t>
                  </w:r>
                </w:p>
                <w:p w14:paraId="4DA525E3"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(5) The Advisory Board convenes with the participation of at least seven members and takes its decisions with the absolute majority of those attending the meeting.</w:t>
                  </w:r>
                </w:p>
                <w:p w14:paraId="53AB42CA"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(6) The President of the Agency also attends the Advisory Board meetings. Secretariat services of the Advisory Board are carried out by the Presidency.</w:t>
                  </w:r>
                </w:p>
                <w:p w14:paraId="6C2E2A9A"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(7) No executive or administrative duties may be assigned to the Advisory Board or its members within the scope of the Agency's activities. The duties and powers given to other organs of the Agency cannot be transferred to the Advisory Board. Membership in the Advisory Board and the Board of Directors cannot be combined.</w:t>
                  </w:r>
                </w:p>
                <w:p w14:paraId="42255360"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Structure and formation of the Presidency</w:t>
                  </w:r>
                </w:p>
                <w:p w14:paraId="2CFC666A"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12 –</w:t>
                  </w:r>
                  <w:r w:rsidRPr="00663534">
                    <w:rPr>
                      <w:rFonts w:ascii="Times New Roman" w:eastAsia="Times New Roman" w:hAnsi="Times New Roman" w:cs="Times New Roman"/>
                      <w:sz w:val="18"/>
                      <w:szCs w:val="18"/>
                    </w:rPr>
                    <w:t>(1) Presidency; The agency consists of the President and two vice-presidents and service units. The Presidency is the executive body of the Agency and has the authority to represent the Agency.</w:t>
                  </w:r>
                </w:p>
                <w:p w14:paraId="69F1B07F"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(2) The Chairman of the Board of Directors may be appointed as the President of the Agency.</w:t>
                  </w:r>
                </w:p>
                <w:p w14:paraId="780CD69E"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(3) Persons to be appointed as Chairman and Vice Chairman must meet the requirements for members of the Board of Directors.</w:t>
                  </w:r>
                </w:p>
                <w:p w14:paraId="1F926D7A"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(4) The term of office of the President and Vice-Presidents is three years, and those whose term of office has expired may be reappointed to the same post.</w:t>
                  </w:r>
                </w:p>
                <w:p w14:paraId="4F7EA162"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(5) In cases where the President is not on duty temporarily, a vice-president to be appointed shall act as the Presidency.</w:t>
                  </w:r>
                </w:p>
                <w:p w14:paraId="4802120E"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 xml:space="preserve">(6) The President and Vice Presidents may be dismissed by the Board of Directors if deemed necessary. With the decision of dismissal, the Board of Directors determines the person who will act as the deputy for the vacant position </w:t>
                  </w:r>
                  <w:r w:rsidRPr="00663534">
                    <w:rPr>
                      <w:rFonts w:ascii="Times New Roman" w:eastAsia="Times New Roman" w:hAnsi="Times New Roman" w:cs="Times New Roman"/>
                      <w:sz w:val="18"/>
                      <w:szCs w:val="18"/>
                    </w:rPr>
                    <w:lastRenderedPageBreak/>
                    <w:t>until the new President or Vice Presidents are appointed. The Board of Directors appoints the new President or Vice President within one month at the latest.</w:t>
                  </w:r>
                </w:p>
                <w:p w14:paraId="127B7AAE"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Duties of the President of the Agency</w:t>
                  </w:r>
                </w:p>
                <w:p w14:paraId="261E25A7"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13 –</w:t>
                  </w:r>
                  <w:r w:rsidRPr="00663534">
                    <w:rPr>
                      <w:rFonts w:ascii="Times New Roman" w:eastAsia="Times New Roman" w:hAnsi="Times New Roman" w:cs="Times New Roman"/>
                      <w:sz w:val="18"/>
                      <w:szCs w:val="18"/>
                    </w:rPr>
                    <w:t>(1) The President of the Agency is responsible for carrying out the following works and transactions:</w:t>
                  </w:r>
                </w:p>
                <w:p w14:paraId="6D97333C"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a) To prepare the agency's budget and annual program, to determine the projects and other transactions for which expenditures will be made for years, to submit them to the approval of the Board of Directors and to follow up their realization.</w:t>
                  </w:r>
                </w:p>
                <w:p w14:paraId="5C956E25"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b) To carry out all work and transactions for the implementation of the decisions taken by the Board of Directors.</w:t>
                  </w:r>
                </w:p>
                <w:p w14:paraId="6BAF6A44"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c) To prepare a report on the human resources policy and present it to the Board of Directors.</w:t>
                  </w:r>
                </w:p>
                <w:p w14:paraId="438C90F7"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ç) To ensure the necessary coordination between the Ministry and the Agency regarding Agency activities.</w:t>
                  </w:r>
                </w:p>
                <w:p w14:paraId="02A21AB1"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d) To ensure coordination with relevant institutions and organizations regarding agency activities.</w:t>
                  </w:r>
                </w:p>
                <w:p w14:paraId="1FE6AC4E"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e) Managing the agency's public relations.</w:t>
                  </w:r>
                </w:p>
                <w:p w14:paraId="6F6CE20F"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f) To issue an administrative sanction decision as a result of environmental audits to be carried out by the Agency personnel, in case of transfer of authority within the scope of Article 12 of the Environmental Law No. 2872 dated 9/8/1983.</w:t>
                  </w:r>
                </w:p>
                <w:p w14:paraId="3F29535C"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g) To carry out the administrative work and transactions of the Agency.</w:t>
                  </w:r>
                </w:p>
                <w:p w14:paraId="2F6FB848"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ğ) To carry out the selection, recruitment and assignment of persons with the qualifications required by the job, to ensure that the personnel are trained and trained according to the requirements of the job.</w:t>
                  </w:r>
                </w:p>
                <w:p w14:paraId="6BFD5D0C"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h) To carry out other works and transactions related to the realization of the Agency's activities and which are not among the duties of the Board of Directors.</w:t>
                  </w:r>
                </w:p>
                <w:p w14:paraId="71E78CB8"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(2) The President may delegate some of his powers specified in the first paragraph to the Vice Presidents, provided that it is in writing and clearly defines its limits.</w:t>
                  </w:r>
                </w:p>
                <w:p w14:paraId="5B0E5652"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vice presidents</w:t>
                  </w:r>
                </w:p>
                <w:p w14:paraId="50125BC8"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14 –</w:t>
                  </w:r>
                  <w:r w:rsidRPr="00663534">
                    <w:rPr>
                      <w:rFonts w:ascii="Times New Roman" w:eastAsia="Times New Roman" w:hAnsi="Times New Roman" w:cs="Times New Roman"/>
                      <w:sz w:val="18"/>
                      <w:szCs w:val="18"/>
                    </w:rPr>
                    <w:t>(1) Deputy Presidents of the Agency are responsible for carrying out the following works and transactions:</w:t>
                  </w:r>
                </w:p>
                <w:p w14:paraId="6B57F93F"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a) To assist the President in duties related to the Agency Presidency.</w:t>
                  </w:r>
                </w:p>
                <w:p w14:paraId="2901CDD0"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b) To ensure that the duties assigned by the relevant legislation and the decisions of the Board of Directors are fulfilled to the service units affiliated to them.</w:t>
                  </w:r>
                </w:p>
                <w:p w14:paraId="45417C01"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c) To ensure the organization and coordination of the efficient and harmonious operation of the service units affiliated to them.</w:t>
                  </w:r>
                </w:p>
                <w:p w14:paraId="7C3F0B3A"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ç) To perform other duties assigned by the President.</w:t>
                  </w:r>
                </w:p>
                <w:p w14:paraId="199E9A3F"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Responsibility of administrative staff</w:t>
                  </w:r>
                </w:p>
                <w:p w14:paraId="74902532"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15 –</w:t>
                  </w:r>
                  <w:r w:rsidRPr="00663534">
                    <w:rPr>
                      <w:rFonts w:ascii="Times New Roman" w:eastAsia="Times New Roman" w:hAnsi="Times New Roman" w:cs="Times New Roman"/>
                      <w:sz w:val="18"/>
                      <w:szCs w:val="18"/>
                    </w:rPr>
                    <w:t>(1) The managers of the agency at all levels are responsible to the upper levels to carry out the services and duties they are obliged to perform in accordance with the legislation, strategic plans and programs, performance criteria and service quality standards.</w:t>
                  </w:r>
                </w:p>
                <w:p w14:paraId="58EFE5D9"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Agency's service units</w:t>
                  </w:r>
                </w:p>
                <w:p w14:paraId="0651AB40"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16 –</w:t>
                  </w:r>
                  <w:r w:rsidRPr="00663534">
                    <w:rPr>
                      <w:rFonts w:ascii="Times New Roman" w:eastAsia="Times New Roman" w:hAnsi="Times New Roman" w:cs="Times New Roman"/>
                      <w:sz w:val="18"/>
                      <w:szCs w:val="18"/>
                    </w:rPr>
                    <w:t>(1) The central service units and duties of the Presidency are as follows:</w:t>
                  </w:r>
                </w:p>
                <w:p w14:paraId="06235B91"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a) Deposit Management System Directorate: To determine the liabilities, administrative regulations and measures regarding the deposit management system applications, to carry out the activities for the establishment, implementation and monitoring of the deposit management system infrastructure, and to carry out the registration, authorization, permit and approval procedures for the deposit management system and to carry out the necessary controls.</w:t>
                  </w:r>
                </w:p>
                <w:p w14:paraId="157C8EB0"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b) Recycling and Producer Responsibility Directorate: To determine the obligations, administrative regulations and measures regarding recycling and producer responsibility and general deposit management system practices, to carry out the activities for the establishment, implementation and monitoring of the infrastructure, and to carry out the registration, authorization, permit and approval procedures for these, and to carry out the necessary procedures. make checks.</w:t>
                  </w:r>
                </w:p>
                <w:p w14:paraId="667AB493"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c) Zero Waste Management Directorate: Carrying out activities related to the establishment, dissemination, development, monitoring, recording and certification of zero waste management systems, registration, inventory, to carry out monitoring, control, evaluation and reporting activities.</w:t>
                  </w:r>
                </w:p>
                <w:p w14:paraId="0C6E65EA"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ç) Environmental Protection Directorate: To carry out activities related to the improvement of the environment within the scope of the law, to carry out inspections within the framework of the relevant legislation for the improvement of the environment with a zero waste and deposit management system in case of transfer of authority by the Ministry, to carry out the works and procedures regarding administrative sanctions in case of violation or violation of the legislation. To carry out, to prepare, develop and implement audit plans and programs, to contribute to the protection, improvement, development and sustainability of green areas.</w:t>
                  </w:r>
                </w:p>
                <w:p w14:paraId="024874D0"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lastRenderedPageBreak/>
                    <w:t>d) Information Technologies Directorate: Establishing, developing and using software systems related to the deposit management system and extended producer responsibility practices, monitoring software applications, establishing and operating information technology technologies related to the Agency and its activities, and ensuring information security.</w:t>
                  </w:r>
                </w:p>
                <w:p w14:paraId="30B608E2"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e) Management Services and Finance Directorate: Selecting, hiring and assigning people with the qualifications required by the job, training and training the personnel according to the requirements of the job, ensuring that the personnel work in positions appropriate to their knowledge and abilities, all kinds of purchases and sales required by the deposit management system and Agency activities. , repair, leasing and administrative and financial services and financing.</w:t>
                  </w:r>
                </w:p>
                <w:p w14:paraId="527F9E38"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f) Legal Counseling and Proceedings Directorate: To provide legal consultancy to Agency organs and units, to represent the Agency before judicial and administrative jurisdictions, mediation, arbitrators, enforcement offices, commissions, relevant public institutions and organizations and international arbitration courts in legal matters related to the Agency's duties. To follow up all kinds of lawsuits, executions and disputes to which the Agency is a party, to represent the Agency for the purpose of resolution and to inform the relevant parties, to carry out the procedures regarding the initiation of legal proceedings when necessary, to express opinions on all kinds of legislation, contracts, proposals, undertakings and drafts sent from the relevant parties, To inform the Board of Directors and the Chairman about the legal measures to be taken for their interests and to put these measures into practice.</w:t>
                  </w:r>
                </w:p>
                <w:p w14:paraId="04E5AC34"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g) Communications Directorate: In order to raise awareness and sensitivity in the public; to prepare and publish visual, audio and written publications, to cooperate with the press and media organs, to carry out activities such as campaigns, competitions and promotions, to organize training and certificate programs.</w:t>
                  </w:r>
                </w:p>
                <w:p w14:paraId="7A0C02E8"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(2) The Presidency may establish a maximum of thirty domestic representations affiliated to the Presidency in order to fulfill the duties assigned to them in the provinces or regions in accordance with the provisions of the relevant legislation by the decision of the Board of Directors. It is essential that the services performed by the domestic representatives are carried out in the service buildings of the Ministry's provincial organization.</w:t>
                  </w:r>
                </w:p>
                <w:p w14:paraId="39D86B14"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(3) Service units are obliged to fulfill the duties assigned by the Presidency.</w:t>
                  </w:r>
                </w:p>
                <w:p w14:paraId="3E90AE37" w14:textId="77777777" w:rsidR="00663534" w:rsidRPr="00663534" w:rsidRDefault="00663534" w:rsidP="00663534">
                  <w:pPr>
                    <w:spacing w:after="0" w:line="240" w:lineRule="atLeast"/>
                    <w:jc w:val="center"/>
                    <w:rPr>
                      <w:rFonts w:ascii="Times New Roman" w:eastAsia="Times New Roman" w:hAnsi="Times New Roman" w:cs="Times New Roman"/>
                      <w:b/>
                      <w:bCs/>
                      <w:sz w:val="19"/>
                      <w:szCs w:val="19"/>
                    </w:rPr>
                  </w:pPr>
                  <w:r w:rsidRPr="00663534">
                    <w:rPr>
                      <w:rFonts w:ascii="Times New Roman" w:eastAsia="Times New Roman" w:hAnsi="Times New Roman" w:cs="Times New Roman"/>
                      <w:b/>
                      <w:bCs/>
                      <w:sz w:val="18"/>
                      <w:szCs w:val="18"/>
                    </w:rPr>
                    <w:t>THIRD PART</w:t>
                  </w:r>
                </w:p>
                <w:p w14:paraId="4F78468D" w14:textId="77777777" w:rsidR="00663534" w:rsidRPr="00663534" w:rsidRDefault="00663534" w:rsidP="00663534">
                  <w:pPr>
                    <w:spacing w:after="0" w:line="240" w:lineRule="atLeast"/>
                    <w:jc w:val="center"/>
                    <w:rPr>
                      <w:rFonts w:ascii="Times New Roman" w:eastAsia="Times New Roman" w:hAnsi="Times New Roman" w:cs="Times New Roman"/>
                      <w:b/>
                      <w:bCs/>
                      <w:sz w:val="19"/>
                      <w:szCs w:val="19"/>
                    </w:rPr>
                  </w:pPr>
                  <w:r w:rsidRPr="00663534">
                    <w:rPr>
                      <w:rFonts w:ascii="Times New Roman" w:eastAsia="Times New Roman" w:hAnsi="Times New Roman" w:cs="Times New Roman"/>
                      <w:b/>
                      <w:bCs/>
                      <w:sz w:val="18"/>
                      <w:szCs w:val="18"/>
                    </w:rPr>
                    <w:t>Provisions Regarding Personnel</w:t>
                  </w:r>
                </w:p>
                <w:p w14:paraId="54376F81"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Purpose and determination of the agency's human resources policy</w:t>
                  </w:r>
                </w:p>
                <w:p w14:paraId="6DBD915C"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17 –</w:t>
                  </w:r>
                  <w:r w:rsidRPr="00663534">
                    <w:rPr>
                      <w:rFonts w:ascii="Times New Roman" w:eastAsia="Times New Roman" w:hAnsi="Times New Roman" w:cs="Times New Roman"/>
                      <w:sz w:val="18"/>
                      <w:szCs w:val="18"/>
                    </w:rPr>
                    <w:t>(1) The purpose of the human resources policy is to employ personnel who are specialized in their fields and have the qualifications needed at the national and international level, and to ensure the development and sustainability of the qualifications of these personnel in order for the Agency to fulfill its duties effectively and efficiently.</w:t>
                  </w:r>
                </w:p>
                <w:p w14:paraId="1C7E6D09"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(2) The human resources regime and policy are determined by the Board of Directors by taking the opinion of the Agency President.</w:t>
                  </w:r>
                </w:p>
                <w:p w14:paraId="3929BA6D"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(3) The President of the Agency is responsible for the monitoring, implementation and development of the human resources policy. The President of the Agency prepares a report on the applied human resources policy and presents it to the Board of Directors. This report includes information on the implementation of the human resources policy, the problems experienced in practice, and suggestions for the solution of the problems and the development of the human resources policy.</w:t>
                  </w:r>
                </w:p>
                <w:p w14:paraId="10E1BE5E"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Principles of the agency's human resources policy</w:t>
                  </w:r>
                </w:p>
                <w:p w14:paraId="3F50DCA9"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18 –</w:t>
                  </w:r>
                  <w:r w:rsidRPr="00663534">
                    <w:rPr>
                      <w:rFonts w:ascii="Times New Roman" w:eastAsia="Times New Roman" w:hAnsi="Times New Roman" w:cs="Times New Roman"/>
                      <w:sz w:val="18"/>
                      <w:szCs w:val="18"/>
                    </w:rPr>
                    <w:t>(1) The basic principles of the agency's human resources policy are:</w:t>
                  </w:r>
                </w:p>
                <w:p w14:paraId="1C2E284C"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a) To carry out the selection, recruitment and assignment of persons with the qualifications required by the job and to train and train the personnel according to the requirements of the job.</w:t>
                  </w:r>
                </w:p>
                <w:p w14:paraId="31CCAA7A"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b) To support the creativity, entrepreneurship, success and effort of the personnel materially and morally, to develop systems related to this, to ensure that the personnel work effectively and efficiently in line with the Agency's objectives, to increase the service quality of the Agency and to provide a comfortable and safe work environment and working conditions suitable for the nature of the work done. .</w:t>
                  </w:r>
                </w:p>
                <w:p w14:paraId="13B4CD02"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c) To employ the personnel with the awareness of cost and savings, in accordance with the principles of effectiveness and efficiency, and to inform them in a timely manner on matters that concern them.</w:t>
                  </w:r>
                </w:p>
                <w:p w14:paraId="1A299288"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ç) To increase the loyalty and commitment of the personnel to the Agency, to create and strengthen the awareness of working in the same Agency, to take measures to develop and motivate cooperation and solidarity among the employees of the Agency, to encourage working in the Agency.</w:t>
                  </w:r>
                </w:p>
                <w:p w14:paraId="47E725DA"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d) To respect the personality of the personnel, to provide equal and appropriate opportunities for the personnel in terms of professional and personal growth and development.</w:t>
                  </w:r>
                </w:p>
                <w:p w14:paraId="09A3E9C0"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e) In the selection of the personnel to be employed, to give priority to the principles and procedures of the Agency and to the expertise required by the task, to ensure that the personnel work in duties appropriate to their knowledge and abilities.</w:t>
                  </w:r>
                </w:p>
                <w:p w14:paraId="704B1E26"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lastRenderedPageBreak/>
                    <w:t>f) To ensure the participation of the personnel in the process of creating the human resources policy, to ensure that the personnel can easily convey their thoughts, opinions and suggestions to the Agency management, to develop communication methods and opportunities within this framework, and to take other measures.</w:t>
                  </w:r>
                </w:p>
                <w:p w14:paraId="0CD088E0"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Employment of agency staff</w:t>
                  </w:r>
                </w:p>
                <w:p w14:paraId="371FB099"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19 –</w:t>
                  </w:r>
                  <w:r w:rsidRPr="00663534">
                    <w:rPr>
                      <w:rFonts w:ascii="Times New Roman" w:eastAsia="Times New Roman" w:hAnsi="Times New Roman" w:cs="Times New Roman"/>
                      <w:sz w:val="18"/>
                      <w:szCs w:val="18"/>
                    </w:rPr>
                    <w:t>(1) A maximum of two hundred personnel, subject to the Labor Law dated 22/5/2003 and numbered 4857, can be employed in the agency. The Board of Directors is authorized to distribute this number on the basis of title.</w:t>
                  </w:r>
                </w:p>
                <w:p w14:paraId="55C6B266"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(2) A maximum of fifty percent of the personnel to be employed in specialist and below titles, on the basis of each title, is the Regulation on the Procedures and Principles to be Applied in Recruiting Workers for Public Institutions and Organizations, which was put into effect with the Council of Ministers Decision dated 29/6/2009 and numbered 2009/15188. Other personnel may be employed within the framework of the procedures and principles to be determined by the Board of Directors.</w:t>
                  </w:r>
                </w:p>
                <w:p w14:paraId="42B6E492"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General conditions for employment</w:t>
                  </w:r>
                </w:p>
                <w:p w14:paraId="7D6B95FE"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20 –</w:t>
                  </w:r>
                  <w:r w:rsidRPr="00663534">
                    <w:rPr>
                      <w:rFonts w:ascii="Times New Roman" w:eastAsia="Times New Roman" w:hAnsi="Times New Roman" w:cs="Times New Roman"/>
                      <w:sz w:val="18"/>
                      <w:szCs w:val="18"/>
                    </w:rPr>
                    <w:t>(1) All personnel to be employed in the agency are required to meet the general conditions in subparagraph (A) of the first paragraph of Article 48 of the Law No. 657.</w:t>
                  </w:r>
                </w:p>
                <w:p w14:paraId="23663320"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Special conditions to be sought in employment</w:t>
                  </w:r>
                </w:p>
                <w:p w14:paraId="22C42439"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21 –</w:t>
                  </w:r>
                  <w:r w:rsidRPr="00663534">
                    <w:rPr>
                      <w:rFonts w:ascii="Times New Roman" w:eastAsia="Times New Roman" w:hAnsi="Times New Roman" w:cs="Times New Roman"/>
                      <w:sz w:val="18"/>
                      <w:szCs w:val="18"/>
                    </w:rPr>
                    <w:t>(1) In the agency;</w:t>
                  </w:r>
                </w:p>
                <w:p w14:paraId="59AE7120"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a) In order to be employed as a director, graduating from the departments determined by the Agency of higher education institutions that provide at least four years of undergraduate education or of higher education institutions abroad whose equivalence is accepted by the Higher Education Council and subject to public and/or social security institutions, international organizations and private sector or have worked as a freelancer for at least five years,</w:t>
                  </w:r>
                </w:p>
                <w:p w14:paraId="1436D156"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b) To be employed as a specialist, to graduate from higher education institutions that provide at least four years of undergraduate education or from departments determined by the Agency of higher education institutions abroad whose equivalence is accepted by the Higher Education Council,</w:t>
                  </w:r>
                </w:p>
                <w:p w14:paraId="16099B9F"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c) To be employed as a lawyer, to graduate from law faculties or from higher education institutions abroad whose equivalence is accepted by the Council of Higher Education and to have a lawyer's license,</w:t>
                  </w:r>
                </w:p>
                <w:p w14:paraId="09A3F244"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ç) To be at least a secondary school graduate in order to be employed as administrative and support personnel,</w:t>
                  </w:r>
                </w:p>
                <w:p w14:paraId="7191C376"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conditions and, if necessary, other special conditions determined by the Board of Directors.</w:t>
                  </w:r>
                </w:p>
                <w:p w14:paraId="00047EE1"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Duties and responsibilities of the personnel</w:t>
                  </w:r>
                </w:p>
                <w:p w14:paraId="47843EB3"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22 –</w:t>
                  </w:r>
                  <w:r w:rsidRPr="00663534">
                    <w:rPr>
                      <w:rFonts w:ascii="Times New Roman" w:eastAsia="Times New Roman" w:hAnsi="Times New Roman" w:cs="Times New Roman"/>
                      <w:sz w:val="18"/>
                      <w:szCs w:val="18"/>
                    </w:rPr>
                    <w:t>(1) Agency personnel are obliged to fulfill the duties assigned to them with care and diligence, and to act in accordance with the orders given by their superiors.</w:t>
                  </w:r>
                </w:p>
                <w:p w14:paraId="37664560"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(2) Agency personnel are obliged to be on duty during the working hours determined for the Agency.</w:t>
                  </w:r>
                </w:p>
                <w:p w14:paraId="69804E3C"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(3) Agency personnel are responsible for making the best use of the materials and fixtures given to them. Those who leave their duties are obliged to return the materials and goods delivered to them. Action is taken against those who deliberately damage or lose or do not return the materials and goods delivered to them, in accordance with the provisions of the labor legislation.</w:t>
                  </w:r>
                </w:p>
                <w:p w14:paraId="7A46563E"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(4) The Agency President may assign the personnel to another unit temporarily in order to ensure that the Agency's work is carried out on time and efficiently.</w:t>
                  </w:r>
                </w:p>
                <w:p w14:paraId="776791CA"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(5) Agency personnel are obliged to keep the secrets they have learned due to their duties, and to preserve the information and documents that have been passed on to them due to their duties. Personnel cannot make a statement to the press on matters related to the Agency without the permission of the Agency President.</w:t>
                  </w:r>
                </w:p>
                <w:p w14:paraId="5B50E998"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(6) Agency personnel may not take advantage or attempt to derive benefit in return for performing or not performing their duties.</w:t>
                  </w:r>
                </w:p>
                <w:p w14:paraId="4A1E45C2"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Financial rights and social security</w:t>
                  </w:r>
                </w:p>
                <w:p w14:paraId="0666FFA4"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23 –</w:t>
                  </w:r>
                  <w:r w:rsidRPr="00663534">
                    <w:rPr>
                      <w:rFonts w:ascii="Times New Roman" w:eastAsia="Times New Roman" w:hAnsi="Times New Roman" w:cs="Times New Roman"/>
                      <w:sz w:val="18"/>
                      <w:szCs w:val="18"/>
                    </w:rPr>
                    <w:t>(1) The one-month total net amount of all in-kind and cash payments made to the Agency President, his assistants and staff within the scope of financial and social rights and benefits; It is determined by the President or the authority authorized by him, not to exceed the one-month total net amount of the payments foreseen to be made within the scope of financial and social rights and assistance to peer personnel determined in accordance with the additional article 11 of the Decree Law No. 375.</w:t>
                  </w:r>
                </w:p>
                <w:p w14:paraId="3869FA17"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(2) Employed personnel are deemed to be insured within the scope of subparagraph (a) of the first paragraph of Article 4 of the Social Security and General Health Insurance Law No. 5510, dated 31/5/2006.</w:t>
                  </w:r>
                </w:p>
                <w:p w14:paraId="54AC1115" w14:textId="77777777" w:rsidR="00663534" w:rsidRPr="00663534" w:rsidRDefault="00663534" w:rsidP="00663534">
                  <w:pPr>
                    <w:spacing w:after="0" w:line="240" w:lineRule="atLeast"/>
                    <w:jc w:val="center"/>
                    <w:rPr>
                      <w:rFonts w:ascii="Times New Roman" w:eastAsia="Times New Roman" w:hAnsi="Times New Roman" w:cs="Times New Roman"/>
                      <w:b/>
                      <w:bCs/>
                      <w:sz w:val="19"/>
                      <w:szCs w:val="19"/>
                    </w:rPr>
                  </w:pPr>
                  <w:r w:rsidRPr="00663534">
                    <w:rPr>
                      <w:rFonts w:ascii="Times New Roman" w:eastAsia="Times New Roman" w:hAnsi="Times New Roman" w:cs="Times New Roman"/>
                      <w:b/>
                      <w:bCs/>
                      <w:sz w:val="18"/>
                      <w:szCs w:val="18"/>
                    </w:rPr>
                    <w:t>CHAPTER FOUR</w:t>
                  </w:r>
                </w:p>
                <w:p w14:paraId="68182C77" w14:textId="77777777" w:rsidR="00663534" w:rsidRPr="00663534" w:rsidRDefault="00663534" w:rsidP="00663534">
                  <w:pPr>
                    <w:spacing w:after="0" w:line="240" w:lineRule="atLeast"/>
                    <w:jc w:val="center"/>
                    <w:rPr>
                      <w:rFonts w:ascii="Times New Roman" w:eastAsia="Times New Roman" w:hAnsi="Times New Roman" w:cs="Times New Roman"/>
                      <w:b/>
                      <w:bCs/>
                      <w:sz w:val="19"/>
                      <w:szCs w:val="19"/>
                    </w:rPr>
                  </w:pPr>
                  <w:r w:rsidRPr="00663534">
                    <w:rPr>
                      <w:rFonts w:ascii="Times New Roman" w:eastAsia="Times New Roman" w:hAnsi="Times New Roman" w:cs="Times New Roman"/>
                      <w:b/>
                      <w:bCs/>
                      <w:sz w:val="18"/>
                      <w:szCs w:val="18"/>
                    </w:rPr>
                    <w:t>Miscellaneous Provisions</w:t>
                  </w:r>
                </w:p>
                <w:p w14:paraId="026EC945"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Cases where there is no provision</w:t>
                  </w:r>
                </w:p>
                <w:p w14:paraId="6F2C0F17"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24 –</w:t>
                  </w:r>
                  <w:r w:rsidRPr="00663534">
                    <w:rPr>
                      <w:rFonts w:ascii="Times New Roman" w:eastAsia="Times New Roman" w:hAnsi="Times New Roman" w:cs="Times New Roman"/>
                      <w:sz w:val="18"/>
                      <w:szCs w:val="18"/>
                    </w:rPr>
                    <w:t>(1) In cases where there is no provision in this Regulation, the provisions of the Law No. 4857 and other relevant labor legislation are applied.</w:t>
                  </w:r>
                </w:p>
                <w:p w14:paraId="084BD9F3"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regulatory authority</w:t>
                  </w:r>
                </w:p>
                <w:p w14:paraId="60F4FBBE"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lastRenderedPageBreak/>
                    <w:t>ARTICLE 25 –</w:t>
                  </w:r>
                  <w:r w:rsidRPr="00663534">
                    <w:rPr>
                      <w:rFonts w:ascii="Times New Roman" w:eastAsia="Times New Roman" w:hAnsi="Times New Roman" w:cs="Times New Roman"/>
                      <w:sz w:val="18"/>
                      <w:szCs w:val="18"/>
                    </w:rPr>
                    <w:t>(1) The Board of Directors is authorized to eliminate the hesitations and disagreements that may arise during the implementation of this Regulation, and to guide the implementation, to determine the principles and standards, to make the necessary arrangements to ensure the unity of implementation, and to request all kinds of information and documents necessary in this regard.</w:t>
                  </w:r>
                </w:p>
                <w:p w14:paraId="316A9844"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prohibitions</w:t>
                  </w:r>
                </w:p>
                <w:p w14:paraId="61604649"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26 –</w:t>
                  </w:r>
                  <w:r w:rsidRPr="00663534">
                    <w:rPr>
                      <w:rFonts w:ascii="Times New Roman" w:eastAsia="Times New Roman" w:hAnsi="Times New Roman" w:cs="Times New Roman"/>
                      <w:sz w:val="18"/>
                      <w:szCs w:val="18"/>
                    </w:rPr>
                    <w:t>(1) Agency personnel cannot work in any other job or service that will hinder or affect the duties they have undertaken with the employment contract, and may be directly or indirectly related to the Agency's field of duty, and cannot be a merchant in accordance with the provisions of the Turkish Commercial Code dated 13/1/2011 and numbered 6102. or engage in an activity that requires being considered a tradesman.</w:t>
                  </w:r>
                </w:p>
                <w:p w14:paraId="457559B4"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sz w:val="18"/>
                      <w:szCs w:val="18"/>
                    </w:rPr>
                    <w:t>(2) Members of the Board of Directors and Advisory Board, spouses of the Agency President and Vice-Presidents, relatives up to the third degree and in-laws up to the second degree, adopted children, adopters, partners and legal advisors and their companies cannot be employed within the scope of the Agency's main activities.</w:t>
                  </w:r>
                </w:p>
                <w:p w14:paraId="41FF198B" w14:textId="77777777" w:rsidR="00663534" w:rsidRPr="00663534" w:rsidRDefault="00663534" w:rsidP="00663534">
                  <w:pPr>
                    <w:spacing w:after="0" w:line="240" w:lineRule="atLeast"/>
                    <w:jc w:val="center"/>
                    <w:rPr>
                      <w:rFonts w:ascii="Times New Roman" w:eastAsia="Times New Roman" w:hAnsi="Times New Roman" w:cs="Times New Roman"/>
                      <w:b/>
                      <w:bCs/>
                      <w:sz w:val="19"/>
                      <w:szCs w:val="19"/>
                    </w:rPr>
                  </w:pPr>
                  <w:r w:rsidRPr="00663534">
                    <w:rPr>
                      <w:rFonts w:ascii="Times New Roman" w:eastAsia="Times New Roman" w:hAnsi="Times New Roman" w:cs="Times New Roman"/>
                      <w:b/>
                      <w:bCs/>
                      <w:sz w:val="18"/>
                      <w:szCs w:val="18"/>
                    </w:rPr>
                    <w:t>CHAPTER FIVE</w:t>
                  </w:r>
                </w:p>
                <w:p w14:paraId="7283CA73" w14:textId="77777777" w:rsidR="00663534" w:rsidRPr="00663534" w:rsidRDefault="00663534" w:rsidP="00663534">
                  <w:pPr>
                    <w:spacing w:after="0" w:line="240" w:lineRule="atLeast"/>
                    <w:jc w:val="center"/>
                    <w:rPr>
                      <w:rFonts w:ascii="Times New Roman" w:eastAsia="Times New Roman" w:hAnsi="Times New Roman" w:cs="Times New Roman"/>
                      <w:b/>
                      <w:bCs/>
                      <w:sz w:val="19"/>
                      <w:szCs w:val="19"/>
                    </w:rPr>
                  </w:pPr>
                  <w:r w:rsidRPr="00663534">
                    <w:rPr>
                      <w:rFonts w:ascii="Times New Roman" w:eastAsia="Times New Roman" w:hAnsi="Times New Roman" w:cs="Times New Roman"/>
                      <w:b/>
                      <w:bCs/>
                      <w:sz w:val="18"/>
                      <w:szCs w:val="18"/>
                    </w:rPr>
                    <w:t>Provisional and Final Provisions</w:t>
                  </w:r>
                </w:p>
                <w:p w14:paraId="44FA9FA1"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Secondment</w:t>
                  </w:r>
                </w:p>
                <w:p w14:paraId="5DCAB515"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PROVISIONAL ARTICLE 1 –</w:t>
                  </w:r>
                  <w:r w:rsidRPr="00663534">
                    <w:rPr>
                      <w:rFonts w:ascii="Times New Roman" w:eastAsia="Times New Roman" w:hAnsi="Times New Roman" w:cs="Times New Roman"/>
                      <w:sz w:val="18"/>
                      <w:szCs w:val="18"/>
                    </w:rPr>
                    <w:t>(1) Personnel of public institutions and organizations may be assigned to the Agency for a period of 5 years from the date the Agency started its activities, in accordance with the additional article 25 of the Decree Law No. 375.</w:t>
                  </w:r>
                </w:p>
                <w:p w14:paraId="4491DF6A"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Force</w:t>
                  </w:r>
                </w:p>
                <w:p w14:paraId="2B34B7DB"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27 –</w:t>
                  </w:r>
                  <w:r w:rsidRPr="00663534">
                    <w:rPr>
                      <w:rFonts w:ascii="Times New Roman" w:eastAsia="Times New Roman" w:hAnsi="Times New Roman" w:cs="Times New Roman"/>
                      <w:sz w:val="18"/>
                      <w:szCs w:val="18"/>
                    </w:rPr>
                    <w:t>(1) This Regulation enters into force on the date of its publication.</w:t>
                  </w:r>
                </w:p>
                <w:p w14:paraId="207E17F0"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Executive</w:t>
                  </w:r>
                </w:p>
                <w:p w14:paraId="206921B0" w14:textId="77777777" w:rsidR="00663534" w:rsidRPr="00663534" w:rsidRDefault="00663534" w:rsidP="00663534">
                  <w:pPr>
                    <w:spacing w:after="0" w:line="240" w:lineRule="atLeast"/>
                    <w:ind w:firstLine="566"/>
                    <w:jc w:val="both"/>
                    <w:rPr>
                      <w:rFonts w:ascii="Times New Roman" w:eastAsia="Times New Roman" w:hAnsi="Times New Roman" w:cs="Times New Roman"/>
                      <w:sz w:val="19"/>
                      <w:szCs w:val="19"/>
                    </w:rPr>
                  </w:pPr>
                  <w:r w:rsidRPr="00663534">
                    <w:rPr>
                      <w:rFonts w:ascii="Times New Roman" w:eastAsia="Times New Roman" w:hAnsi="Times New Roman" w:cs="Times New Roman"/>
                      <w:b/>
                      <w:bCs/>
                      <w:sz w:val="18"/>
                      <w:szCs w:val="18"/>
                    </w:rPr>
                    <w:t>ARTICLE 28 –</w:t>
                  </w:r>
                  <w:r w:rsidRPr="00663534">
                    <w:rPr>
                      <w:rFonts w:ascii="Times New Roman" w:eastAsia="Times New Roman" w:hAnsi="Times New Roman" w:cs="Times New Roman"/>
                      <w:sz w:val="18"/>
                      <w:szCs w:val="18"/>
                    </w:rPr>
                    <w:t>(1) The provisions of this Regulation are executed by the Minister of Environment and Urbanization.</w:t>
                  </w:r>
                </w:p>
                <w:p w14:paraId="7C3E2C0F" w14:textId="77777777" w:rsidR="00663534" w:rsidRPr="00663534" w:rsidRDefault="00663534" w:rsidP="00663534">
                  <w:pPr>
                    <w:spacing w:before="100" w:beforeAutospacing="1" w:after="100" w:afterAutospacing="1" w:line="240" w:lineRule="auto"/>
                    <w:jc w:val="center"/>
                    <w:rPr>
                      <w:rFonts w:ascii="Times New Roman" w:eastAsia="Times New Roman" w:hAnsi="Times New Roman" w:cs="Times New Roman"/>
                      <w:sz w:val="24"/>
                      <w:szCs w:val="24"/>
                    </w:rPr>
                  </w:pPr>
                </w:p>
              </w:tc>
            </w:tr>
          </w:tbl>
          <w:p w14:paraId="794253D4" w14:textId="77777777" w:rsidR="00663534" w:rsidRPr="00663534" w:rsidRDefault="00663534" w:rsidP="00663534">
            <w:pPr>
              <w:spacing w:after="0" w:line="240" w:lineRule="auto"/>
              <w:rPr>
                <w:rFonts w:ascii="Times New Roman" w:eastAsia="Times New Roman" w:hAnsi="Times New Roman" w:cs="Times New Roman"/>
                <w:sz w:val="24"/>
                <w:szCs w:val="24"/>
              </w:rPr>
            </w:pPr>
          </w:p>
        </w:tc>
      </w:tr>
    </w:tbl>
    <w:p w14:paraId="35FA143C" w14:textId="77777777" w:rsidR="00000000" w:rsidRPr="00663534" w:rsidRDefault="00000000" w:rsidP="00663534">
      <w:pPr>
        <w:spacing w:after="0" w:line="240" w:lineRule="auto"/>
        <w:rPr>
          <w:rFonts w:ascii="Times New Roman" w:eastAsia="Times New Roman" w:hAnsi="Times New Roman" w:cs="Times New Roman"/>
          <w:color w:val="000000"/>
          <w:sz w:val="27"/>
          <w:szCs w:val="27"/>
        </w:rPr>
      </w:pPr>
    </w:p>
    <w:sectPr w:rsidR="00F01B24" w:rsidRPr="0066353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3534"/>
    <w:rsid w:val="000E5218"/>
    <w:rsid w:val="00151519"/>
    <w:rsid w:val="00663534"/>
    <w:rsid w:val="00A23B15"/>
    <w:rsid w:val="00A93D14"/>
    <w:rsid w:val="00E6467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3A73C2"/>
  <w15:chartTrackingRefBased/>
  <w15:docId w15:val="{F9566B78-C3AC-4098-888A-312B6C568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6353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lk11pt">
    <w:name w:val="balk11pt"/>
    <w:basedOn w:val="Normal"/>
    <w:rsid w:val="0066353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rtabalkbold">
    <w:name w:val="ortabalkbold"/>
    <w:basedOn w:val="Normal"/>
    <w:rsid w:val="0066353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etin">
    <w:name w:val="metin"/>
    <w:basedOn w:val="Normal"/>
    <w:rsid w:val="0066353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7927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DFE0012B3A7364A8D30F13E7384277A" ma:contentTypeVersion="19" ma:contentTypeDescription="Create a new document." ma:contentTypeScope="" ma:versionID="a25283bf9f748daf0edc4b582c0661e2">
  <xsd:schema xmlns:xsd="http://www.w3.org/2001/XMLSchema" xmlns:xs="http://www.w3.org/2001/XMLSchema" xmlns:p="http://schemas.microsoft.com/office/2006/metadata/properties" xmlns:ns2="bb8a701f-2b8f-4feb-8a76-a89fffc874f7" xmlns:ns3="1040b9b5-f5c0-4217-b2d0-ab48eeb68d18" targetNamespace="http://schemas.microsoft.com/office/2006/metadata/properties" ma:root="true" ma:fieldsID="4579575559436b84e1c3ab9a7957ea1e" ns2:_="" ns3:_="">
    <xsd:import namespace="bb8a701f-2b8f-4feb-8a76-a89fffc874f7"/>
    <xsd:import namespace="1040b9b5-f5c0-4217-b2d0-ab48eeb68d1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Output1"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8a701f-2b8f-4feb-8a76-a89fffc874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Output1" ma:index="12" nillable="true" ma:displayName="Output 1" ma:format="Thumbnail" ma:internalName="Output1">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781ab1e-fa2b-46d0-818f-2857c8270fde" ma:termSetId="09814cd3-568e-fe90-9814-8d621ff8fb84" ma:anchorId="fba54fb3-c3e1-fe81-a776-ca4b69148c4d" ma:open="true" ma:isKeyword="false">
      <xsd:complexType>
        <xsd:sequence>
          <xsd:element ref="pc:Terms" minOccurs="0" maxOccurs="1"/>
        </xsd:sequence>
      </xsd:complexType>
    </xsd:element>
    <xsd:element name="MediaServiceLocation" ma:index="24" nillable="true" ma:displayName="Location" ma:indexed="true" ma:internalName="MediaServiceLocation" ma:readOnly="true">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040b9b5-f5c0-4217-b2d0-ab48eeb68d18"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f5df24e-1298-49da-ae55-dbabb4872968}" ma:internalName="TaxCatchAll" ma:showField="CatchAllData" ma:web="1040b9b5-f5c0-4217-b2d0-ab48eeb68d1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utput1 xmlns="bb8a701f-2b8f-4feb-8a76-a89fffc874f7" xsi:nil="true"/>
    <TaxCatchAll xmlns="1040b9b5-f5c0-4217-b2d0-ab48eeb68d18" xsi:nil="true"/>
    <lcf76f155ced4ddcb4097134ff3c332f xmlns="bb8a701f-2b8f-4feb-8a76-a89fffc874f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9707195-27F2-40C3-9F21-80652AD9983F}"/>
</file>

<file path=customXml/itemProps2.xml><?xml version="1.0" encoding="utf-8"?>
<ds:datastoreItem xmlns:ds="http://schemas.openxmlformats.org/officeDocument/2006/customXml" ds:itemID="{0BF1FCFF-0564-46BA-BC82-4C129A1AB96E}"/>
</file>

<file path=customXml/itemProps3.xml><?xml version="1.0" encoding="utf-8"?>
<ds:datastoreItem xmlns:ds="http://schemas.openxmlformats.org/officeDocument/2006/customXml" ds:itemID="{45ED3030-6DA5-4C63-A5C5-845758258B21}"/>
</file>

<file path=docProps/app.xml><?xml version="1.0" encoding="utf-8"?>
<Properties xmlns="http://schemas.openxmlformats.org/officeDocument/2006/extended-properties" xmlns:vt="http://schemas.openxmlformats.org/officeDocument/2006/docPropsVTypes">
  <Template>Normal</Template>
  <TotalTime>1</TotalTime>
  <Pages>7</Pages>
  <Words>4373</Words>
  <Characters>24927</Characters>
  <Application>Microsoft Office Word</Application>
  <DocSecurity>0</DocSecurity>
  <Lines>207</Lines>
  <Paragraphs>58</Paragraphs>
  <ScaleCrop>false</ScaleCrop>
  <Company/>
  <LinksUpToDate>false</LinksUpToDate>
  <CharactersWithSpaces>29242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Ipek Tasgin</dc:creator>
  <cp:keywords/>
  <dc:description/>
  <cp:lastModifiedBy>Ipek Gulkaya Tasgin</cp:lastModifiedBy>
  <cp:revision>2</cp:revision>
  <dcterms:created xsi:type="dcterms:W3CDTF">2021-08-27T18:26:00Z</dcterms:created>
  <dcterms:modified xsi:type="dcterms:W3CDTF">2023-08-03T07:12:00Z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0x010100DDFE0012B3A7364A8D30F13E7384277A</vt:lpwstr>
  </property>
</Properties>
</file>