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Default Extension="png" ContentType="image/png"/>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xmlns:wp="http://schemas.openxmlformats.org/drawingml/2006/wordprocessingDrawing" xmlns:o="urn:schemas-microsoft-com:office:office" xmlns:v="urn:schemas-microsoft-com:vml" xmlns:w="http://schemas.openxmlformats.org/wordprocessingml/2006/main" xmlns:r="http://schemas.openxmlformats.org/officeDocument/2006/relationships" xmlns:mc="http://schemas.openxmlformats.org/markup-compatibility/2006" xmlns:w10="urn:schemas-microsoft-com:office:word" xmlns:wps="http://schemas.microsoft.com/office/word/2010/wordprocessingShape" xmlns:w14="http://schemas.microsoft.com/office/word/2010/wordml" xmlns:wp14="http://schemas.microsoft.com/office/word/2010/wordprocessingDrawing">
      <w:r>
        <w:rPr>
          <w:noProof/>
        </w:rPr>
        <mc:AlternateContent>
          <mc:Choice Requires="wps">
            <w:drawing>
              <wp:anchor distT="0" distB="0" distL="114300" distR="114300" simplePos="0" relativeHeight="251659264" behindDoc="0" locked="0" layoutInCell="1" allowOverlap="1">
                <wp:simplePos x="0" y="0"/>
                <wp:positionH relativeFrom="leftMargin">
                  <wp:align>left</wp:align>
                </wp:positionH>
                <wp:positionV relativeFrom="page">
                  <wp:posOffset>0</wp:posOffset>
                </wp:positionV>
                <wp:extent cx="7765200" cy="219600"/>
                <wp:effectExtent l="0" t="0" r="0" b="9525"/>
                <wp:wrapNone/>
                <wp:docPr id="100010111" name="ODT_ATTR_LBL_SHAP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65200" cy="219600"/>
                        </a:xfrm>
                        <a:prstGeom prst="rect">
                          <a:avLst/>
                        </a:prstGeom>
                        <a:solidFill>
                          <a:srgbClr val="f2f2f2"/>
                        </a:solidFill>
                        <a:ln w="9525">
                          <a:noFill/>
                          <a:miter lim="800000"/>
                          <a:headEnd/>
                          <a:tailEnd/>
                        </a:ln>
                      </wps:spPr>
                      <wps:txbx>
                        <w:txbxContent>
                          <w:p>
                            <w:pPr>
                              <!--  bidi  -->
                              <w:spacing w:line="240" w:lineRule="auto"/>
                              <w:contextualSpacing/>
                              <w:jc w:val="left"/>
                            </w:pPr>
                            <w:r>
                              <w:rPr>
                                <w:noProof/>
                                <w:position w:val="-6"/>
                                <!-- rtl -->
                              </w:rPr>
                              <w:drawing>
                                <wp:inline distT="0" distB="0" distL="0" distR="0">
                                  <wp:extent cx="316230" cy="179705"/>
                                  <wp:effectExtent l="0" t="0" r="0" b="0"/>
                                  <wp:docPr id="100010001" name="LOGO"/>
                                  <wp:cNvGraphicFramePr/>
                                  <a:graphic xmlns:a="http://schemas.openxmlformats.org/drawingml/2006/main">
                                    <a:graphicData uri="http://schemas.openxmlformats.org/drawingml/2006/picture">
                                      <pic:pic xmlns:pic="http://schemas.openxmlformats.org/drawingml/2006/picture">
                                        <pic:nvPicPr>
                                          <pic:cNvPr id="100010001" name="LOGO"/>
                                          <pic:cNvPicPr/>
                                        </pic:nvPicPr>
                                        <pic:blipFill>
                                          <a:blip r:embed="r_odt_logo" cstate="print">
                                            <a:extLst>
                                              <a:ext uri="{28A0092B-C50C-407E-A947-70E740481C1C}">
                                                <a14:useLocalDpi xmlns:a14="http://schemas.microsoft.com/office/drawing/2010/main" val="0"/>
                                              </a:ext>
                                            </a:extLst>
                                          </a:blip>
                                          <a:stretch>
                                            <a:fillRect/>
                                          </a:stretch>
                                        </pic:blipFill>
                                        <pic:spPr>
                                          <a:xfrm>
                                            <a:off x="0" y="0"/>
                                            <a:ext cx="316230" cy="179705"/>
                                          </a:xfrm>
                                          <a:prstGeom prst="rect">
                                            <a:avLst/>
                                          </a:prstGeom>
                                        </pic:spPr>
                                      </pic:pic>
                                    </a:graphicData>
                                  </a:graphic>
                                </wp:inline>
                              </w:drawing>
                            </w:r>
                            <w:r>
                              <w:rPr>
                                <w:rFonts w:ascii="Roboto" w:hAnsi="Roboto"/>
                                <w:color w:val="0F2B46"/>
                                <w:szCs w:val="18"/>
                              </w:rPr>
                              <w:t xml:space="preserve"> </w:t>
                            </w:r>
                            <w:hyperlink r:id="r_odt_hyperlink" w:history="1" w:tooltip="Doc Translator - www.onlinedoctranslator.com">
                              <w:r>
                                <w:rPr>
                                  <w:rFonts w:ascii="Roboto" w:hAnsi="Roboto"/>
                                  <w:color w:val="0F2B46"/>
                                  <w:sz w:val="18"/>
                                  <w:szCs w:val="18"/>
                                  <!-- rtl -->
                                </w:rPr>
                                <w:t xml:space="preserve">Translated from Turkish to English - </w:t>
                              </w:r>
                              <w:r>
                                <w:rPr>
                                  <w:rFonts w:ascii="Roboto" w:hAnsi="Roboto"/>
                                  <w:color w:val="0F2B46"/>
                                  <w:sz w:val="18"/>
                                  <w:szCs w:val="18"/>
                                  <w:u w:val="single"/>
                                </w:rPr>
                                <w:t>www.onlinedoctranslator.com</w:t>
                              </w:r>
                            </w:hyperlink>
                          </w:p>
                        </w:txbxContent>
                      </wps:txbx>
                      <wps:bodyPr rot="0" vert="horz" wrap="square" lIns="91440" tIns="0" rIns="91440" bIns="0" anchor="t" anchorCtr="0">
                        <a:noAutofit/>
                      </wps:bodyPr>
                    </wps:wsp>
                  </a:graphicData>
                </a:graphic>
                <wp14:sizeRelH relativeFrom="page">
                  <wp14:pctWidth>100000</wp14:pctWidth>
                </wp14:sizeRelH>
                <wp14:sizeRelV relativeFrom="margin">
                  <wp14:pctHeight>0</wp14:pctHeight>
                </wp14:sizeRelV>
              </wp:anchor>
            </w:drawing>
          </mc:Choice>
          <mc:Fallback>
            <w:pict>
              <v:shape id="ODT_ATTR_LBL_SHAPE" type="#_x0000_t202" style="position:absolute;left:0;text-align:left;margin-left:0;margin-top:0;width:611.45pt;height:17.3pt;z-index:251659264;visibility:visible;mso-wrap-style:square;mso-width-percent:1000;mso-height-percent:0;mso-wrap-distance-left:9pt;mso-wrap-distance-top:3.6pt;mso-wrap-distance-right:9pt;mso-wrap-distance-bottom:3.6pt;mso-position-horizontal:absolute;mso-position-horizontal-relative:page;mso-position-vertical:absolute;mso-position-vertical-relative:page;mso-width-percent:1000;mso-height-percent:0;mso-width-relative:page;mso-height-relative:margin;v-text-anchor:top" o:gfxdata="" fillcolor="#f2f2f2" stroked="f">
                <v:textbox inset=",0,,0">
                  <w:txbxContent>
                    <w:p>
                      <w:pPr>
                        <w:bidi/>
                        <w:spacing w:line="240" w:lineRule="auto"/>
                        <w:contextualSpacing/>
                        <w:jc w:val="left"/>
                      </w:pPr>
                      <w:r>
                        <w:rPr>
                          <w:noProof/>
                          <w:position w:val="-6"/>
                        </w:rPr>
                        <w:drawing>
                          <wp:inline distT="0" distB="0" distL="0" distR="0">
                            <wp:extent cx="316230" cy="179705"/>
                            <wp:effectExtent l="0" t="0" r="0" b="0"/>
                            <wp:docPr id="100010001" name="LOGO"/>
                            <wp:cNvGraphicFramePr/>
                            <a:graphic xmlns:a="http://schemas.openxmlformats.org/drawingml/2006/main">
                              <a:graphicData uri="http://schemas.openxmlformats.org/drawingml/2006/picture">
                                <pic:pic xmlns:pic="http://schemas.openxmlformats.org/drawingml/2006/picture">
                                  <pic:nvPicPr>
                                    <pic:cNvPr id="100010001" name="LOGO"/>
                                    <pic:cNvPicPr/>
                                  </pic:nvPicPr>
                                  <pic:blipFill>
                                    <a:blip r:embed="r_odt_logo" cstate="print">
                                      <a:extLst>
                                        <a:ext uri="{28A0092B-C50C-407E-A947-70E740481C1C}">
                                          <a14:useLocalDpi xmlns:a14="http://schemas.microsoft.com/office/drawing/2010/main" val="0"/>
                                        </a:ext>
                                      </a:extLst>
                                    </a:blip>
                                    <a:stretch>
                                      <a:fillRect/>
                                    </a:stretch>
                                  </pic:blipFill>
                                  <pic:spPr>
                                    <a:xfrm>
                                      <a:off x="0" y="0"/>
                                      <a:ext cx="316230" cy="179705"/>
                                    </a:xfrm>
                                    <a:prstGeom prst="rect">
                                      <a:avLst/>
                                    </a:prstGeom>
                                  </pic:spPr>
                                </pic:pic>
                              </a:graphicData>
                            </a:graphic>
                          </wp:inline>
                        </w:drawing>
                      </w:r>
                      <w:r>
                        <w:rPr>
                          <w:rFonts w:ascii="Roboto" w:hAnsi="Roboto"/>
                          <w:color w:val="0F2B46"/>
                          <w:szCs w:val="18"/>
                        </w:rPr>
                        <w:t xml:space="preserve"> </w:t>
                      </w:r>
                      <w:hyperlink r:id="r_odt_hyperlink" w:history="1" w:tooltip="Doc Translator - www.onlinedoctranslator.com">
                        <w:r>
                          <w:rPr>
                            <w:rFonts w:ascii="Roboto" w:hAnsi="Roboto"/>
                            <w:color w:val="0F2B46"/>
                            <w:sz w:val="18"/>
                            <w:szCs w:val="18"/>
                            <!-- rtl -->
                          </w:rPr>
                          <w:t xml:space="preserve">Translated from Turkish to English - </w:t>
                        </w:r>
                        <w:r>
                          <w:rPr>
                            <w:rFonts w:ascii="Roboto" w:hAnsi="Roboto"/>
                            <w:color w:val="0F2B46"/>
                            <w:sz w:val="18"/>
                            <w:szCs w:val="18"/>
                            <w:u w:val="single"/>
                          </w:rPr>
                          <w:t>www.onlinedoctranslator.com</w:t>
                        </w:r>
                      </w:hyperlink>
                    </w:p>
                  </w:txbxContent>
                </v:textbox>
                <w10:wrap anchorx="page" anchory="page"/>
              </v:shape>
            </w:pict>
          </mc:Fallback>
        </mc:AlternateContent>
      </w:r>
    </w:p>
    <w:p w:rsidR="006F367E" w:rsidRPr="009F2AAD" w:rsidRDefault="006F367E" w:rsidP="00BC61B5">
      <w:pPr>
        <w:spacing w:before="120" w:after="120" w:line="240" w:lineRule="auto"/>
        <w:jc w:val="center"/>
        <w:rPr>
          <w:rFonts w:ascii="Times New Roman" w:hAnsi="Times New Roman" w:cs="Times New Roman"/>
          <w:b/>
          <w:sz w:val="24"/>
          <w:szCs w:val="24"/>
        </w:rPr>
      </w:pPr>
      <w:r w:rsidRPr="009F2AAD">
        <w:rPr>
          <w:rFonts w:ascii="Times New Roman" w:hAnsi="Times New Roman" w:cs="Times New Roman"/>
          <w:b/>
          <w:sz w:val="24"/>
          <w:szCs w:val="24"/>
        </w:rPr>
        <w:t xml:space="preserve">THE PROBLEM OF SCIENTIFICITY OF THE CONCEPT OF MULTI-LEVEL GOVERNANCE</w:t>
      </w:r>
    </w:p>
    <w:p w:rsidR="009F2AAD" w:rsidRPr="00D31394" w:rsidRDefault="009F2AAD" w:rsidP="009F2AAD">
      <w:pPr>
        <w:spacing w:before="120" w:after="120" w:line="240" w:lineRule="auto"/>
        <w:jc w:val="right"/>
        <w:rPr>
          <w:rFonts w:ascii="Times New Roman" w:hAnsi="Times New Roman" w:cs="Times New Roman"/>
          <w:sz w:val="20"/>
          <w:szCs w:val="20"/>
        </w:rPr>
      </w:pPr>
      <w:r w:rsidRPr="00D31394">
        <w:rPr>
          <w:rFonts w:ascii="Times New Roman" w:hAnsi="Times New Roman" w:cs="Times New Roman"/>
          <w:sz w:val="20"/>
          <w:szCs w:val="20"/>
        </w:rPr>
        <w:t>Grandfather Wish</w:t>
      </w:r>
      <w:r w:rsidRPr="00D31394">
        <w:rPr>
          <w:rStyle w:val="DipnotBavurusu"/>
          <w:rFonts w:ascii="Times New Roman" w:hAnsi="Times New Roman" w:cs="Times New Roman"/>
          <w:sz w:val="20"/>
          <w:szCs w:val="20"/>
        </w:rPr>
        <w:footnoteReference w:customMarkFollows="1" w:id="1"/>
        <w:sym w:font="Symbol" w:char="F02A"/>
      </w:r>
    </w:p>
    <w:p w:rsidR="009F2AAD" w:rsidRDefault="009F2AAD" w:rsidP="00352898">
      <w:pPr>
        <w:spacing w:before="120" w:after="120" w:line="480" w:lineRule="auto"/>
        <w:jc w:val="center"/>
        <w:rPr>
          <w:rFonts w:ascii="Times New Roman" w:hAnsi="Times New Roman" w:cs="Times New Roman"/>
        </w:rPr>
      </w:pPr>
    </w:p>
    <w:p w:rsidR="006F367E" w:rsidRPr="00986AD1" w:rsidRDefault="006F367E" w:rsidP="00986AD1">
      <w:pPr>
        <w:spacing w:before="120" w:after="120" w:line="240" w:lineRule="auto"/>
        <w:rPr>
          <w:rFonts w:ascii="Times New Roman" w:hAnsi="Times New Roman" w:cs="Times New Roman"/>
          <w:b/>
          <w:sz w:val="20"/>
          <w:szCs w:val="20"/>
        </w:rPr>
      </w:pPr>
      <w:r w:rsidRPr="00986AD1">
        <w:rPr>
          <w:rFonts w:ascii="Times New Roman" w:hAnsi="Times New Roman" w:cs="Times New Roman"/>
          <w:b/>
          <w:sz w:val="20"/>
          <w:szCs w:val="20"/>
        </w:rPr>
        <w:t>SELF</w:t>
      </w:r>
    </w:p>
    <w:p w:rsidR="0053154E" w:rsidRPr="00986AD1" w:rsidRDefault="0053154E" w:rsidP="00986AD1">
      <w:pPr>
        <w:spacing w:before="120" w:after="120" w:line="240" w:lineRule="auto"/>
        <w:jc w:val="both"/>
        <w:rPr>
          <w:rFonts w:ascii="Times New Roman" w:eastAsia="Times New Roman" w:hAnsi="Times New Roman" w:cs="Times New Roman"/>
          <w:sz w:val="20"/>
          <w:szCs w:val="20"/>
          <w:lang w:eastAsia="tr-TR"/>
        </w:rPr>
      </w:pPr>
      <w:r w:rsidRPr="00986AD1">
        <w:rPr>
          <w:rFonts w:ascii="Times New Roman" w:eastAsia="Times New Roman" w:hAnsi="Times New Roman" w:cs="Times New Roman"/>
          <w:sz w:val="20"/>
          <w:szCs w:val="20"/>
          <w:lang w:eastAsia="tr-TR"/>
        </w:rPr>
        <w:t>In this study, starting from the question of what multi-level governance is, the criticisms of the concept of multi-level governance discussed in the literature will be included.  </w:t>
      </w:r>
    </w:p>
    <w:p w:rsidR="002232C5" w:rsidRPr="00986AD1" w:rsidRDefault="006F367E" w:rsidP="00352898">
      <w:pPr>
        <w:spacing w:before="120" w:after="120" w:line="240" w:lineRule="auto"/>
        <w:jc w:val="both"/>
        <w:rPr>
          <w:rFonts w:ascii="Times New Roman" w:eastAsia="Times New Roman" w:hAnsi="Times New Roman" w:cs="Times New Roman"/>
          <w:sz w:val="20"/>
          <w:szCs w:val="20"/>
          <w:lang w:eastAsia="tr-TR"/>
        </w:rPr>
      </w:pPr>
      <w:r w:rsidRPr="00986AD1">
        <w:rPr>
          <w:rFonts w:ascii="Times New Roman" w:eastAsia="Times New Roman" w:hAnsi="Times New Roman" w:cs="Times New Roman"/>
          <w:sz w:val="20"/>
          <w:szCs w:val="20"/>
          <w:lang w:eastAsia="tr-TR"/>
        </w:rPr>
        <w:t>Multi-level governance is read as a form of re-evaluation of governance that became current in the early 1990s in the “age of crises” where the distinction between domestic and foreign policy became blurred. The concept was first used by Gary Marks to explain the method of distributing structural funds to member states after the 1992 Maastricht Treaty.  </w:t>
      </w:r>
    </w:p>
    <w:p w:rsidR="00D45999" w:rsidRPr="00986AD1" w:rsidRDefault="006E576E" w:rsidP="00352898">
      <w:pPr>
        <w:spacing w:before="120" w:after="120" w:line="240" w:lineRule="auto"/>
        <w:jc w:val="both"/>
        <w:rPr>
          <w:rFonts w:ascii="Times New Roman" w:eastAsia="Times New Roman" w:hAnsi="Times New Roman" w:cs="Times New Roman"/>
          <w:sz w:val="20"/>
          <w:szCs w:val="20"/>
          <w:lang w:eastAsia="tr-TR"/>
        </w:rPr>
      </w:pPr>
      <w:r w:rsidRPr="00986AD1">
        <w:rPr>
          <w:rFonts w:ascii="Times New Roman" w:eastAsia="Times New Roman" w:hAnsi="Times New Roman" w:cs="Times New Roman"/>
          <w:sz w:val="20"/>
          <w:szCs w:val="20"/>
          <w:lang w:eastAsia="tr-TR"/>
        </w:rPr>
        <w:t xml:space="preserve">Multi-level governance refers to a pluralistic structure formed by the state, private sector and civil society organizations in the decision-making process in public policies, on the one hand; and on the other hand, to the elimination of hierarchy between supranational, national and sub-national levels. Multi-level governance, by definition, is a continuous negotiation process between actors through networks established temporarily for specific purposes among decision-making actors.</w:t>
      </w:r>
    </w:p>
    <w:p w:rsidR="00FE7506" w:rsidRPr="00986AD1" w:rsidRDefault="00167EB9" w:rsidP="00352898">
      <w:pPr>
        <w:spacing w:before="120" w:after="120" w:line="240" w:lineRule="auto"/>
        <w:jc w:val="both"/>
        <w:rPr>
          <w:rFonts w:ascii="Times New Roman" w:eastAsia="Times New Roman" w:hAnsi="Times New Roman" w:cs="Times New Roman"/>
          <w:sz w:val="20"/>
          <w:szCs w:val="20"/>
          <w:lang w:eastAsia="tr-TR"/>
        </w:rPr>
      </w:pPr>
      <w:r w:rsidRPr="00986AD1">
        <w:rPr>
          <w:rFonts w:ascii="Times New Roman" w:eastAsia="Times New Roman" w:hAnsi="Times New Roman" w:cs="Times New Roman"/>
          <w:sz w:val="20"/>
          <w:szCs w:val="20"/>
          <w:lang w:eastAsia="tr-TR"/>
        </w:rPr>
        <w:t>Criticisms directed at multi-level governance are subject to a two-angled reading as theoretical and empirical planes. The first group of criticisms discusses the scientific nature of the concept of multi-level governance. Therefore, the first group of criticisms will be included in the scope of the study.</w:t>
      </w:r>
    </w:p>
    <w:p w:rsidR="00EC6F0A" w:rsidRPr="00986AD1" w:rsidRDefault="00FE7506" w:rsidP="00352898">
      <w:pPr>
        <w:spacing w:before="120" w:after="120" w:line="240" w:lineRule="auto"/>
        <w:jc w:val="both"/>
        <w:rPr>
          <w:rFonts w:ascii="Times New Roman" w:eastAsia="Times New Roman" w:hAnsi="Times New Roman" w:cs="Times New Roman"/>
          <w:sz w:val="20"/>
          <w:szCs w:val="20"/>
          <w:lang w:eastAsia="tr-TR"/>
        </w:rPr>
      </w:pPr>
      <w:r w:rsidRPr="00986AD1">
        <w:rPr>
          <w:rFonts w:ascii="Times New Roman" w:eastAsia="Times New Roman" w:hAnsi="Times New Roman" w:cs="Times New Roman"/>
          <w:sz w:val="20"/>
          <w:szCs w:val="20"/>
          <w:lang w:eastAsia="tr-TR"/>
        </w:rPr>
        <w:t>The first criticism in the first group is that multi-level governance is not a theory. It is an “eclectic” synthesis created by combining previously created theories. This criticism is directed at the originality of the thesis.</w:t>
      </w:r>
    </w:p>
    <w:p w:rsidR="0053154E" w:rsidRPr="00986AD1" w:rsidRDefault="00FE7506" w:rsidP="00352898">
      <w:pPr>
        <w:spacing w:before="120" w:after="120" w:line="240" w:lineRule="auto"/>
        <w:jc w:val="both"/>
        <w:rPr>
          <w:rFonts w:ascii="Times New Roman" w:eastAsia="Times New Roman" w:hAnsi="Times New Roman" w:cs="Times New Roman"/>
          <w:sz w:val="20"/>
          <w:szCs w:val="20"/>
          <w:lang w:eastAsia="tr-TR"/>
        </w:rPr>
      </w:pPr>
      <w:r w:rsidRPr="00986AD1">
        <w:rPr>
          <w:rFonts w:ascii="Times New Roman" w:eastAsia="Times New Roman" w:hAnsi="Times New Roman" w:cs="Times New Roman"/>
          <w:sz w:val="20"/>
          <w:szCs w:val="20"/>
          <w:lang w:eastAsia="tr-TR"/>
        </w:rPr>
        <w:t>The second criticism is that multi-level governance cannot be considered a scientific theory because it develops a descriptive form of explanation that is not based on conceptual pattern construction, based on a paradigm that cannot go further than explaining the European Union.</w:t>
      </w:r>
    </w:p>
    <w:p w:rsidR="00A44432" w:rsidRPr="00986AD1" w:rsidRDefault="00352898" w:rsidP="00352898">
      <w:pPr>
        <w:spacing w:before="120" w:after="120" w:line="240" w:lineRule="auto"/>
        <w:jc w:val="both"/>
        <w:rPr>
          <w:rFonts w:ascii="Times New Roman" w:eastAsia="Calibri" w:hAnsi="Times New Roman" w:cs="Times New Roman"/>
          <w:sz w:val="20"/>
          <w:szCs w:val="20"/>
        </w:rPr>
      </w:pPr>
      <w:r w:rsidRPr="00986AD1">
        <w:rPr>
          <w:rFonts w:ascii="Times New Roman" w:eastAsia="Times New Roman" w:hAnsi="Times New Roman" w:cs="Times New Roman"/>
          <w:sz w:val="20"/>
          <w:szCs w:val="20"/>
          <w:lang w:eastAsia="tr-TR"/>
        </w:rPr>
        <w:t>The study is a theoretical study, an evaluation study was conducted using the literature review method.</w:t>
      </w:r>
      <w:r w:rsidR="0053154E" w:rsidRPr="00986AD1">
        <w:rPr>
          <w:rFonts w:ascii="Times New Roman" w:eastAsia="Calibri" w:hAnsi="Times New Roman" w:cs="Times New Roman"/>
          <w:sz w:val="20"/>
          <w:szCs w:val="20"/>
        </w:rPr>
        <w:t>In this article, firstly, the definition and characteristics of the concept of multi-level governance will be pointed out. Secondly, the criticisms directed to multi-level governance will be mentioned and evaluated.  </w:t>
      </w:r>
    </w:p>
    <w:p w:rsidR="0042584D" w:rsidRDefault="0042584D" w:rsidP="00986AD1">
      <w:pPr>
        <w:spacing w:after="120" w:line="240" w:lineRule="auto"/>
        <w:jc w:val="both"/>
        <w:rPr>
          <w:rFonts w:ascii="Times New Roman" w:eastAsia="Calibri" w:hAnsi="Times New Roman" w:cs="Times New Roman"/>
          <w:sz w:val="20"/>
          <w:szCs w:val="20"/>
        </w:rPr>
      </w:pPr>
    </w:p>
    <w:p w:rsidR="00FE7506" w:rsidRDefault="00986AD1" w:rsidP="00986AD1">
      <w:pPr>
        <w:spacing w:after="120" w:line="240" w:lineRule="auto"/>
        <w:jc w:val="both"/>
        <w:rPr>
          <w:rFonts w:ascii="Times New Roman" w:eastAsia="Calibri" w:hAnsi="Times New Roman" w:cs="Times New Roman"/>
          <w:sz w:val="20"/>
          <w:szCs w:val="20"/>
        </w:rPr>
      </w:pPr>
      <w:r>
        <w:rPr>
          <w:rFonts w:ascii="Times New Roman" w:eastAsia="Calibri" w:hAnsi="Times New Roman" w:cs="Times New Roman"/>
          <w:sz w:val="20"/>
          <w:szCs w:val="20"/>
        </w:rPr>
        <w:t>Keywords: Multi-level governance, Change in public administration, Europeanization, Autonomy, Sub-national actors.</w:t>
      </w:r>
    </w:p>
    <w:p w:rsidR="00986AD1" w:rsidRDefault="00986AD1" w:rsidP="00986AD1">
      <w:pPr>
        <w:spacing w:after="120" w:line="240" w:lineRule="auto"/>
        <w:jc w:val="both"/>
        <w:rPr>
          <w:rFonts w:ascii="Times New Roman" w:eastAsia="Calibri" w:hAnsi="Times New Roman" w:cs="Times New Roman"/>
          <w:sz w:val="20"/>
          <w:szCs w:val="20"/>
        </w:rPr>
      </w:pPr>
    </w:p>
    <w:p w:rsidR="0069007B" w:rsidRDefault="00FD4F37" w:rsidP="00D31394">
      <w:pPr>
        <w:spacing w:before="120" w:after="12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THE SCIENTIFIC CHALLENGE OF MULTI-LEVEL GOVERNANCE (AS) A CONCEPT</w:t>
      </w:r>
    </w:p>
    <w:p w:rsidR="00B8666F" w:rsidRPr="00D31394" w:rsidRDefault="00B8666F" w:rsidP="00B8666F">
      <w:pPr>
        <w:spacing w:before="120" w:after="120" w:line="240" w:lineRule="auto"/>
        <w:jc w:val="right"/>
        <w:rPr>
          <w:rFonts w:ascii="Times New Roman" w:hAnsi="Times New Roman" w:cs="Times New Roman"/>
          <w:sz w:val="20"/>
          <w:szCs w:val="20"/>
        </w:rPr>
      </w:pPr>
      <w:r w:rsidRPr="00D31394">
        <w:rPr>
          <w:rFonts w:ascii="Times New Roman" w:hAnsi="Times New Roman" w:cs="Times New Roman"/>
          <w:sz w:val="20"/>
          <w:szCs w:val="20"/>
        </w:rPr>
        <w:t>Grandfather Wish</w:t>
      </w:r>
      <w:r w:rsidRPr="00D31394">
        <w:rPr>
          <w:rStyle w:val="DipnotBavurusu"/>
          <w:rFonts w:ascii="Times New Roman" w:hAnsi="Times New Roman" w:cs="Times New Roman"/>
          <w:sz w:val="20"/>
          <w:szCs w:val="20"/>
        </w:rPr>
        <w:footnoteReference w:customMarkFollows="1" w:id="2"/>
        <w:sym w:font="Symbol" w:char="F02A"/>
      </w:r>
    </w:p>
    <w:p w:rsidR="00D31394" w:rsidRPr="00AC2175" w:rsidRDefault="00D31394" w:rsidP="00D31394">
      <w:pPr>
        <w:spacing w:before="120" w:after="120" w:line="240" w:lineRule="auto"/>
        <w:jc w:val="center"/>
        <w:rPr>
          <w:rFonts w:ascii="Times New Roman" w:eastAsia="Calibri" w:hAnsi="Times New Roman" w:cs="Times New Roman"/>
          <w:b/>
          <w:sz w:val="24"/>
          <w:szCs w:val="24"/>
        </w:rPr>
      </w:pPr>
    </w:p>
    <w:p w:rsidR="00986AD1" w:rsidRPr="00AC2175" w:rsidRDefault="00986AD1" w:rsidP="00D31394">
      <w:pPr>
        <w:spacing w:before="120" w:after="120" w:line="240" w:lineRule="auto"/>
        <w:jc w:val="both"/>
        <w:rPr>
          <w:rFonts w:ascii="Times New Roman" w:eastAsia="Calibri" w:hAnsi="Times New Roman" w:cs="Times New Roman"/>
          <w:b/>
          <w:sz w:val="20"/>
          <w:szCs w:val="20"/>
        </w:rPr>
      </w:pPr>
      <w:r w:rsidRPr="00AC2175">
        <w:rPr>
          <w:rFonts w:ascii="Times New Roman" w:eastAsia="Calibri" w:hAnsi="Times New Roman" w:cs="Times New Roman"/>
          <w:b/>
          <w:sz w:val="20"/>
          <w:szCs w:val="20"/>
        </w:rPr>
        <w:t>ABSTRACT</w:t>
      </w:r>
    </w:p>
    <w:p w:rsidR="00986AD1" w:rsidRPr="009A449C" w:rsidRDefault="00F23F81" w:rsidP="009A449C">
      <w:pPr>
        <w:spacing w:before="120" w:after="120" w:line="240" w:lineRule="auto"/>
        <w:jc w:val="both"/>
        <w:rPr>
          <w:rFonts w:ascii="Times New Roman" w:eastAsia="Times New Roman" w:hAnsi="Times New Roman" w:cs="Times New Roman"/>
          <w:sz w:val="20"/>
          <w:szCs w:val="20"/>
          <w:lang w:eastAsia="tr-TR"/>
        </w:rPr>
      </w:pPr>
      <w:r w:rsidRPr="009A449C">
        <w:rPr>
          <w:rFonts w:ascii="Times New Roman" w:eastAsia="Times New Roman" w:hAnsi="Times New Roman" w:cs="Times New Roman"/>
          <w:sz w:val="20"/>
          <w:szCs w:val="20"/>
          <w:lang w:eastAsia="tr-TR"/>
        </w:rPr>
        <w:t xml:space="preserve">This study seeks understanding of the concept of multi-level governance through a critical assessment within the literature.</w:t>
      </w:r>
    </w:p>
    <w:p w:rsidR="00645A1D" w:rsidRPr="009A449C" w:rsidRDefault="00645A1D" w:rsidP="009A449C">
      <w:pPr>
        <w:spacing w:before="120" w:after="120" w:line="240" w:lineRule="auto"/>
        <w:jc w:val="both"/>
        <w:rPr>
          <w:rFonts w:ascii="Times New Roman" w:eastAsia="Times New Roman" w:hAnsi="Times New Roman" w:cs="Times New Roman"/>
          <w:sz w:val="20"/>
          <w:szCs w:val="20"/>
          <w:lang w:eastAsia="tr-TR"/>
        </w:rPr>
      </w:pPr>
      <w:r w:rsidRPr="009A449C">
        <w:rPr>
          <w:rFonts w:ascii="Times New Roman" w:eastAsia="Times New Roman" w:hAnsi="Times New Roman" w:cs="Times New Roman"/>
          <w:sz w:val="20"/>
          <w:szCs w:val="20"/>
          <w:lang w:eastAsia="tr-TR"/>
        </w:rPr>
        <w:t>Multi level governace has described as a reassessment form of governance which, is actual in the early of 1990's, at the “age of crisis”. At that time parallel academic boundaries of the traditional distinction between domestic and international politics is blurred.</w:t>
      </w:r>
    </w:p>
    <w:p w:rsidR="001B4B62" w:rsidRPr="009A449C" w:rsidRDefault="001B4B62" w:rsidP="009A449C">
      <w:pPr>
        <w:spacing w:before="120" w:after="120" w:line="240" w:lineRule="auto"/>
        <w:jc w:val="both"/>
        <w:rPr>
          <w:rFonts w:ascii="Times New Roman" w:eastAsia="Times New Roman" w:hAnsi="Times New Roman" w:cs="Times New Roman"/>
          <w:sz w:val="20"/>
          <w:szCs w:val="20"/>
          <w:lang w:eastAsia="tr-TR"/>
        </w:rPr>
      </w:pPr>
      <w:r w:rsidRPr="009A449C">
        <w:rPr>
          <w:rFonts w:ascii="Times New Roman" w:eastAsia="Times New Roman" w:hAnsi="Times New Roman" w:cs="Times New Roman"/>
          <w:sz w:val="20"/>
          <w:szCs w:val="20"/>
          <w:lang w:eastAsia="tr-TR"/>
        </w:rPr>
        <w:t>Gary Marks first used the phrase multi-level governance to capture developments in EU structural policy following Maastrich Treaty in 1992.</w:t>
      </w:r>
    </w:p>
    <w:p w:rsidR="00CD340E" w:rsidRPr="009A449C" w:rsidRDefault="001E45E1" w:rsidP="009A449C">
      <w:pPr>
        <w:spacing w:before="120" w:after="120" w:line="240" w:lineRule="auto"/>
        <w:jc w:val="both"/>
        <w:rPr>
          <w:rFonts w:ascii="Times New Roman" w:eastAsia="Times New Roman" w:hAnsi="Times New Roman" w:cs="Times New Roman"/>
          <w:sz w:val="20"/>
          <w:szCs w:val="20"/>
          <w:lang w:eastAsia="tr-TR"/>
        </w:rPr>
      </w:pPr>
      <w:r w:rsidRPr="009A449C">
        <w:rPr>
          <w:rFonts w:ascii="Times New Roman" w:eastAsia="Times New Roman" w:hAnsi="Times New Roman" w:cs="Times New Roman"/>
          <w:sz w:val="20"/>
          <w:szCs w:val="20"/>
          <w:lang w:eastAsia="tr-TR"/>
        </w:rPr>
        <w:t>Multi level governance is on the one hand pluralist structure consisting of public, private, NGO partnership, on the other hand dispersion of hierarchy between supranational, national and sub national levels in decision making process of public policy. Description of multi level governance is an ad-hoc network which implements between decision makers as a parmament negotiation process</w:t>
      </w:r>
    </w:p>
    <w:p w:rsidR="001E45E1" w:rsidRPr="009A449C" w:rsidRDefault="00FA5CAB" w:rsidP="009A449C">
      <w:pPr>
        <w:spacing w:before="120" w:after="120" w:line="240" w:lineRule="auto"/>
        <w:jc w:val="both"/>
        <w:rPr>
          <w:rFonts w:ascii="Times New Roman" w:eastAsia="Times New Roman" w:hAnsi="Times New Roman" w:cs="Times New Roman"/>
          <w:sz w:val="20"/>
          <w:szCs w:val="20"/>
          <w:lang w:eastAsia="tr-TR"/>
        </w:rPr>
      </w:pPr>
      <w:r w:rsidRPr="009A449C">
        <w:rPr>
          <w:rFonts w:ascii="Times New Roman" w:eastAsia="Times New Roman" w:hAnsi="Times New Roman" w:cs="Times New Roman"/>
          <w:sz w:val="20"/>
          <w:szCs w:val="20"/>
          <w:lang w:eastAsia="tr-TR"/>
        </w:rPr>
        <w:t>The criticism of multi-level governance is classified in two perspectives. These are theoretical and empirical sides. we performed the theoretical dimension of ciriticism due to the fact that scientific challenge of multi level governance is discussed in the first side.</w:t>
      </w:r>
    </w:p>
    <w:p w:rsidR="006D301D" w:rsidRPr="002863DE" w:rsidRDefault="009A449C" w:rsidP="002863DE">
      <w:pPr>
        <w:spacing w:before="120" w:after="120" w:line="240" w:lineRule="auto"/>
        <w:jc w:val="both"/>
        <w:rPr>
          <w:rFonts w:ascii="Times New Roman" w:eastAsia="Times New Roman" w:hAnsi="Times New Roman" w:cs="Times New Roman"/>
          <w:sz w:val="20"/>
          <w:szCs w:val="20"/>
          <w:lang w:eastAsia="tr-TR"/>
        </w:rPr>
      </w:pPr>
      <w:r w:rsidRPr="009A449C">
        <w:rPr>
          <w:rFonts w:ascii="Times New Roman" w:eastAsia="Times New Roman" w:hAnsi="Times New Roman" w:cs="Times New Roman"/>
          <w:sz w:val="20"/>
          <w:szCs w:val="20"/>
          <w:lang w:eastAsia="tr-TR"/>
        </w:rPr>
        <w:t xml:space="preserve">Firstly multi-level governance is not a new theory, however, it is an eclectic amalgam of novel theories. Secondly, it provides a description of the European Union for that reason it is not a theory.</w:t>
      </w:r>
    </w:p>
    <w:p w:rsidR="002863DE" w:rsidRPr="002863DE" w:rsidRDefault="00E649B8" w:rsidP="002863DE">
      <w:pPr>
        <w:spacing w:before="120" w:after="120" w:line="240" w:lineRule="auto"/>
        <w:jc w:val="both"/>
        <w:rPr>
          <w:rFonts w:ascii="Times New Roman" w:eastAsia="Times New Roman" w:hAnsi="Times New Roman" w:cs="Times New Roman"/>
          <w:sz w:val="20"/>
          <w:szCs w:val="20"/>
          <w:lang w:eastAsia="tr-TR"/>
        </w:rPr>
      </w:pPr>
      <w:r>
        <w:rPr>
          <w:rFonts w:ascii="Times New Roman" w:eastAsia="Times New Roman" w:hAnsi="Times New Roman" w:cs="Times New Roman"/>
          <w:sz w:val="20"/>
          <w:szCs w:val="20"/>
          <w:lang w:eastAsia="tr-TR"/>
        </w:rPr>
        <w:t xml:space="preserve">In methodology, it is a theoretical exploration study, through scanning literature. Firstly, I performed descriptions and characteristics of MLG in literature Secondly I present and examine the crisis of the concept.</w:t>
      </w:r>
    </w:p>
    <w:p w:rsidR="00B14EF9" w:rsidRDefault="00B14EF9" w:rsidP="002863DE">
      <w:pPr>
        <w:spacing w:before="120" w:after="120" w:line="240" w:lineRule="auto"/>
        <w:jc w:val="both"/>
        <w:rPr>
          <w:rFonts w:ascii="Times New Roman" w:eastAsia="Times New Roman" w:hAnsi="Times New Roman" w:cs="Times New Roman"/>
          <w:sz w:val="20"/>
          <w:szCs w:val="20"/>
          <w:lang w:eastAsia="tr-TR"/>
        </w:rPr>
      </w:pPr>
    </w:p>
    <w:p w:rsidR="00E649B8" w:rsidRDefault="005F7E8C" w:rsidP="002863DE">
      <w:pPr>
        <w:spacing w:before="120" w:after="120" w:line="240" w:lineRule="auto"/>
        <w:jc w:val="both"/>
        <w:rPr>
          <w:rFonts w:ascii="Times New Roman" w:eastAsia="Times New Roman" w:hAnsi="Times New Roman" w:cs="Times New Roman"/>
          <w:sz w:val="20"/>
          <w:szCs w:val="20"/>
          <w:lang w:eastAsia="tr-TR"/>
        </w:rPr>
      </w:pPr>
      <w:r>
        <w:rPr>
          <w:rFonts w:ascii="Times New Roman" w:eastAsia="Times New Roman" w:hAnsi="Times New Roman" w:cs="Times New Roman"/>
          <w:sz w:val="20"/>
          <w:szCs w:val="20"/>
          <w:lang w:eastAsia="tr-TR"/>
        </w:rPr>
        <w:t>Key Words: Multi level governance, Shifts on public administration, Europeanisation, Authonomy, Sub-national actors.</w:t>
      </w:r>
    </w:p>
    <w:p w:rsidR="003F69DA" w:rsidRDefault="003F69DA" w:rsidP="002863DE">
      <w:pPr>
        <w:spacing w:before="120" w:after="120" w:line="240" w:lineRule="auto"/>
        <w:jc w:val="both"/>
        <w:rPr>
          <w:rFonts w:ascii="Times New Roman" w:eastAsia="Times New Roman" w:hAnsi="Times New Roman" w:cs="Times New Roman"/>
          <w:b/>
          <w:lang w:eastAsia="tr-TR"/>
        </w:rPr>
      </w:pPr>
    </w:p>
    <w:p w:rsidR="0042584D" w:rsidRDefault="0042584D" w:rsidP="002863DE">
      <w:pPr>
        <w:spacing w:before="120" w:after="120" w:line="240" w:lineRule="auto"/>
        <w:jc w:val="both"/>
        <w:rPr>
          <w:rFonts w:ascii="Times New Roman" w:eastAsia="Times New Roman" w:hAnsi="Times New Roman" w:cs="Times New Roman"/>
          <w:b/>
          <w:lang w:eastAsia="tr-TR"/>
        </w:rPr>
      </w:pPr>
    </w:p>
    <w:p w:rsidR="00AE56FC" w:rsidRDefault="00D31394" w:rsidP="002863DE">
      <w:pPr>
        <w:spacing w:before="120" w:after="120" w:line="240" w:lineRule="auto"/>
        <w:jc w:val="both"/>
        <w:rPr>
          <w:rFonts w:ascii="Times New Roman" w:eastAsia="Times New Roman" w:hAnsi="Times New Roman" w:cs="Times New Roman"/>
          <w:b/>
          <w:lang w:eastAsia="tr-TR"/>
        </w:rPr>
      </w:pPr>
      <w:r>
        <w:rPr>
          <w:rFonts w:ascii="Times New Roman" w:eastAsia="Times New Roman" w:hAnsi="Times New Roman" w:cs="Times New Roman"/>
          <w:b/>
          <w:lang w:eastAsia="tr-TR"/>
        </w:rPr>
        <w:lastRenderedPageBreak/>
        <w:t>ENTRANCE</w:t>
      </w:r>
    </w:p>
    <w:p w:rsidR="0042584D" w:rsidRPr="0006798D" w:rsidRDefault="003F69DA" w:rsidP="00AD123D">
      <w:pPr>
        <w:spacing w:before="120" w:after="120" w:line="240" w:lineRule="auto"/>
        <w:jc w:val="both"/>
        <w:rPr>
          <w:rFonts w:ascii="Times New Roman" w:eastAsia="Times New Roman" w:hAnsi="Times New Roman" w:cs="Times New Roman"/>
          <w:lang w:eastAsia="tr-TR"/>
        </w:rPr>
      </w:pPr>
      <w:r w:rsidRPr="0006798D">
        <w:rPr>
          <w:rFonts w:ascii="Times New Roman" w:eastAsia="Times New Roman" w:hAnsi="Times New Roman" w:cs="Times New Roman"/>
          <w:lang w:eastAsia="tr-TR"/>
        </w:rPr>
        <w:t>The concept of multi-level governance was first used by Gary Marks in the 1990s, which was described as the “Age of Crises” when the distinction between domestic and foreign policy was blurred. The first use of the concept was to explain the mechanism of distributing structural funds to member states introduced with the 1988 regional policy reform.</w:t>
      </w:r>
    </w:p>
    <w:p w:rsidR="0042584D" w:rsidRPr="0006798D" w:rsidRDefault="007E68B7" w:rsidP="00AD123D">
      <w:pPr>
        <w:spacing w:before="120" w:after="120" w:line="240" w:lineRule="auto"/>
        <w:jc w:val="both"/>
        <w:rPr>
          <w:rFonts w:ascii="Times New Roman" w:eastAsia="Times New Roman" w:hAnsi="Times New Roman" w:cs="Times New Roman"/>
          <w:lang w:eastAsia="tr-TR"/>
        </w:rPr>
      </w:pPr>
      <w:r w:rsidRPr="0006798D">
        <w:rPr>
          <w:rFonts w:ascii="Times New Roman" w:eastAsia="Times New Roman" w:hAnsi="Times New Roman" w:cs="Times New Roman"/>
          <w:lang w:eastAsia="tr-TR"/>
        </w:rPr>
        <w:t>Multi-level governance, on the one hand, refers to the division of powers at supranational, national and sub-national levels by breaking the decision-making and implementation monopoly of the modern state, and on the other hand, the participation of actors involved in the decision-making process - the market, the state, civil society - local people, etc. In these respects, it refers to multi-levelness in the first sense and governance in the other sense.</w:t>
      </w:r>
    </w:p>
    <w:p w:rsidR="00B14EF9" w:rsidRPr="0006798D" w:rsidRDefault="00B8666F" w:rsidP="00AD123D">
      <w:pPr>
        <w:spacing w:before="120" w:after="120" w:line="240" w:lineRule="auto"/>
        <w:jc w:val="both"/>
        <w:rPr>
          <w:rFonts w:ascii="Times New Roman" w:eastAsia="Times New Roman" w:hAnsi="Times New Roman" w:cs="Times New Roman"/>
          <w:lang w:eastAsia="tr-TR"/>
        </w:rPr>
      </w:pPr>
      <w:r w:rsidRPr="0006798D">
        <w:rPr>
          <w:rFonts w:ascii="Times New Roman" w:eastAsia="Times New Roman" w:hAnsi="Times New Roman" w:cs="Times New Roman"/>
          <w:lang w:eastAsia="tr-TR"/>
        </w:rPr>
        <w:t>The concept of multi-level governance is examined in the literature from theoretical, empirical and normative perspectives. In this study, we will discuss the theoretical dimension of the concept of multi-level governance in relation to its scientific nature.</w:t>
      </w:r>
    </w:p>
    <w:p w:rsidR="00B14EF9" w:rsidRPr="0006798D" w:rsidRDefault="00B14EF9" w:rsidP="00AD123D">
      <w:pPr>
        <w:spacing w:before="120" w:after="120" w:line="240" w:lineRule="auto"/>
        <w:jc w:val="both"/>
        <w:rPr>
          <w:rFonts w:ascii="Times New Roman" w:eastAsia="Times New Roman" w:hAnsi="Times New Roman" w:cs="Times New Roman"/>
          <w:lang w:eastAsia="tr-TR"/>
        </w:rPr>
      </w:pPr>
      <w:r w:rsidRPr="0006798D">
        <w:rPr>
          <w:rFonts w:ascii="Times New Roman" w:eastAsia="Times New Roman" w:hAnsi="Times New Roman" w:cs="Times New Roman"/>
          <w:lang w:eastAsia="tr-TR"/>
        </w:rPr>
        <w:t>Our aim in the study is to include the criticisms addressed in the literature, based on the definitions and characteristics of the concept of multi-level governance. The criticisms directed to the concept are addressed with a dual classification regarding the theoretical and empirical dimensions. Within the scope of this study, we will only point out the criticisms directed to the theoretical dimension, as they are compatible with the problem of scientificity of the concept.</w:t>
      </w:r>
    </w:p>
    <w:p w:rsidR="0006798D" w:rsidRDefault="0006798D" w:rsidP="00AD123D">
      <w:pPr>
        <w:spacing w:before="120" w:after="120" w:line="240" w:lineRule="auto"/>
        <w:jc w:val="both"/>
        <w:rPr>
          <w:rFonts w:ascii="Times New Roman" w:eastAsia="Calibri" w:hAnsi="Times New Roman" w:cs="Times New Roman"/>
        </w:rPr>
      </w:pPr>
      <w:r w:rsidRPr="0006798D">
        <w:rPr>
          <w:rFonts w:ascii="Times New Roman" w:eastAsia="Times New Roman" w:hAnsi="Times New Roman" w:cs="Times New Roman"/>
          <w:lang w:eastAsia="tr-TR"/>
        </w:rPr>
        <w:t>Methodologically, an evaluation study was conducted using the literature review method.</w:t>
      </w:r>
      <w:r w:rsidRPr="0006798D">
        <w:rPr>
          <w:rFonts w:ascii="Times New Roman" w:eastAsia="Calibri" w:hAnsi="Times New Roman" w:cs="Times New Roman"/>
        </w:rPr>
        <w:t>In this article, firstly, the definition and characteristics of the concept of multi-level governance will be pointed out. Secondly, the criticisms directed to multi-level governance will be mentioned and evaluated.</w:t>
      </w:r>
    </w:p>
    <w:p w:rsidR="0006798D" w:rsidRDefault="0006798D" w:rsidP="00AD123D">
      <w:pPr>
        <w:spacing w:before="120" w:after="120" w:line="240" w:lineRule="auto"/>
        <w:jc w:val="both"/>
        <w:rPr>
          <w:rStyle w:val="KitapBal"/>
          <w:rFonts w:ascii="Times New Roman" w:hAnsi="Times New Roman" w:cs="Times New Roman"/>
        </w:rPr>
      </w:pPr>
    </w:p>
    <w:p w:rsidR="0006798D" w:rsidRDefault="0006798D" w:rsidP="00AD123D">
      <w:pPr>
        <w:spacing w:before="120" w:after="120" w:line="240" w:lineRule="auto"/>
        <w:jc w:val="both"/>
        <w:rPr>
          <w:rStyle w:val="KitapBal"/>
          <w:rFonts w:ascii="Times New Roman" w:hAnsi="Times New Roman" w:cs="Times New Roman"/>
        </w:rPr>
      </w:pPr>
      <w:r w:rsidRPr="005114B6">
        <w:rPr>
          <w:rStyle w:val="KitapBal"/>
          <w:rFonts w:ascii="Times New Roman" w:hAnsi="Times New Roman" w:cs="Times New Roman"/>
        </w:rPr>
        <w:t>I) Conceptual Basis of Multi-Level Governance</w:t>
      </w:r>
    </w:p>
    <w:p w:rsidR="00192C55" w:rsidRPr="00192C55" w:rsidRDefault="00AD123D" w:rsidP="00192C55">
      <w:pPr>
        <w:autoSpaceDE w:val="0"/>
        <w:autoSpaceDN w:val="0"/>
        <w:adjustRightInd w:val="0"/>
        <w:jc w:val="both"/>
        <w:rPr>
          <w:rFonts w:ascii="Times New Roman" w:eastAsia="Times New Roman" w:hAnsi="Times New Roman" w:cs="Times New Roman"/>
          <w:lang w:eastAsia="tr-TR"/>
        </w:rPr>
      </w:pPr>
      <w:r w:rsidRPr="0006798D">
        <w:rPr>
          <w:rFonts w:ascii="Times New Roman" w:eastAsia="Times New Roman" w:hAnsi="Times New Roman" w:cs="Times New Roman"/>
          <w:lang w:eastAsia="tr-TR"/>
        </w:rPr>
        <w:t xml:space="preserve">The concept of multi-level governance is used in the literature on Europeanization, and it particularly points to the importance of subnational policies in the policy-making process in the European Union. Accordingly, while a two-tiered political structure of national and supranational levels was mentioned in the early periods of the European Union, a new political form that is claimed to be an interaction between three levels, namely Europe, national and subnational, is pointed out in the period after 1980. The existence of the subnational level prevents the limited use of the concept. The traditional two-angled reading of national and supranational reveals a reaction to the discourse of “Europe of Regions”. The concept is examined in the literature at theoretical, normative and empirical levels. The theoretical field of study is addressed with the distinction of domestic policy-foreign policy, center-periphery, state-society, based on the dual distinction of European integration theories as supranational/state-centered. (Piattoni: 2010; 2009). The concept, which is also an area of ​​study within the theory of organization and democracy from an empirical perspective, is addressed in areas such as environmental policy, education policy, structural policies, and common agricultural policy at an empirical level. (Marks et al., 1993, 1996, 2001; Fairbrass and Jordan 2004; Bache, Flinders 2004). At a normative level, it is addressed within the theory of organization, legitimacy, and democracy. (Keating, 1998; Börzel 2010)</w:t>
      </w:r>
    </w:p>
    <w:p w:rsidR="00AD123D" w:rsidRDefault="00AD123D" w:rsidP="00AD123D">
      <w:pPr>
        <w:spacing w:before="120" w:after="120" w:line="240" w:lineRule="auto"/>
        <w:jc w:val="both"/>
        <w:rPr>
          <w:rFonts w:ascii="Times New Roman" w:eastAsia="Times New Roman" w:hAnsi="Times New Roman" w:cs="Times New Roman"/>
          <w:lang w:eastAsia="tr-TR"/>
        </w:rPr>
      </w:pPr>
      <w:r w:rsidRPr="0006798D">
        <w:rPr>
          <w:rFonts w:ascii="Times New Roman" w:eastAsia="Times New Roman" w:hAnsi="Times New Roman" w:cs="Times New Roman"/>
          <w:lang w:eastAsia="tr-TR"/>
        </w:rPr>
        <w:t xml:space="preserve">At this point, it is undeniable that the concept is the subject of many disciplines. The concept has been addressed in the literature on a multi-disciplinary and interdisciplinary axis and explained in many sub-fields. Another feature of the concept is that it has been defined by commission reports outside the theoretical axis and the basic principles of European governance have been determined, thus creating framework texts for applications.</w:t>
      </w:r>
    </w:p>
    <w:p w:rsidR="0006798D" w:rsidRDefault="0006798D" w:rsidP="00AD123D">
      <w:pPr>
        <w:spacing w:before="120" w:after="120" w:line="240" w:lineRule="auto"/>
        <w:jc w:val="both"/>
        <w:rPr>
          <w:rFonts w:ascii="Times New Roman" w:eastAsia="Times New Roman" w:hAnsi="Times New Roman" w:cs="Times New Roman"/>
          <w:b/>
          <w:lang w:eastAsia="tr-TR"/>
        </w:rPr>
      </w:pPr>
      <w:r>
        <w:rPr>
          <w:rFonts w:ascii="Times New Roman" w:eastAsia="Times New Roman" w:hAnsi="Times New Roman" w:cs="Times New Roman"/>
          <w:b/>
          <w:lang w:eastAsia="tr-TR"/>
        </w:rPr>
        <w:t>IA)Definition of Multi-Level Governance</w:t>
      </w:r>
    </w:p>
    <w:p w:rsidR="0006798D" w:rsidRDefault="0006798D" w:rsidP="00AD123D">
      <w:pPr>
        <w:pStyle w:val="NormalWeb"/>
        <w:spacing w:before="120" w:beforeAutospacing="0" w:after="120" w:afterAutospacing="0"/>
        <w:jc w:val="both"/>
        <w:rPr>
          <w:rFonts w:ascii="Times New Roman" w:eastAsia="Calibri" w:hAnsi="Times New Roman" w:cs="Times New Roman"/>
          <w:sz w:val="22"/>
          <w:szCs w:val="22"/>
        </w:rPr>
      </w:pPr>
      <w:r w:rsidRPr="003F69DA">
        <w:rPr>
          <w:rFonts w:ascii="Times New Roman" w:eastAsia="Calibri" w:hAnsi="Times New Roman" w:cs="Times New Roman"/>
          <w:sz w:val="22"/>
          <w:szCs w:val="22"/>
        </w:rPr>
        <w:t xml:space="preserve">Let's try to reach the question of what is the definition of the concept of multi-level governance at this point. Multi-level governance discussions in Europe emerged with the Single European Act. In the new institutional architecture, the erosion of state sovereignty is seen as the dispersion of authority. Multi-level governance is defined as flexible power sharing between levels where it is not fully defined who makes the final decision determining changes in policies, regime and geopolitical conditions.</w:t>
      </w:r>
    </w:p>
    <w:p w:rsidR="0006798D" w:rsidRPr="003F69DA" w:rsidRDefault="0006798D" w:rsidP="00AD123D">
      <w:pPr>
        <w:pStyle w:val="NormalWeb"/>
        <w:spacing w:before="120" w:beforeAutospacing="0" w:after="120" w:afterAutospacing="0"/>
        <w:jc w:val="both"/>
        <w:rPr>
          <w:rFonts w:ascii="Times New Roman" w:eastAsia="Calibri" w:hAnsi="Times New Roman" w:cs="Times New Roman"/>
          <w:sz w:val="22"/>
          <w:szCs w:val="22"/>
        </w:rPr>
      </w:pPr>
      <w:r w:rsidRPr="003F69DA">
        <w:rPr>
          <w:rFonts w:ascii="Times New Roman" w:eastAsia="Calibri" w:hAnsi="Times New Roman" w:cs="Times New Roman"/>
          <w:sz w:val="22"/>
          <w:szCs w:val="22"/>
        </w:rPr>
        <w:t>It is the cooperation of different combinations of administrations on multi-layered authority structures. Relations are mutually dependent on each other's resources. (Hooghe, Marks: 2003, p. 5) It is not mutually dependent on scarce resources. Multi-level governance determines power sharing. The EU sets rules at different levels among private public actors, but its main task is not the allocation of resources from the center or the redistribution of resources. The function of the EU is to reorganize social political risks. The role of the union in the process of producing norms is to balance competing and conflicting interests as a result of the commonality. States negotiate and discuss with each other on the basis of "soft law". In this respect, the EU approaches hierarchy. Political authority is not centralized in the sense of hierarchical rules as in the state model, or decentralized as in an anarchic order. There is a change in the sovereignty of the units in the system from hierarchical and fixed to heterarchical horizontal and procedural. (Eriksen: 2009, p. 160)</w:t>
      </w:r>
    </w:p>
    <w:p w:rsidR="0006798D" w:rsidRPr="003F69DA" w:rsidRDefault="0006798D" w:rsidP="00AD123D">
      <w:pPr>
        <w:pStyle w:val="NormalWeb"/>
        <w:spacing w:before="120" w:beforeAutospacing="0" w:after="120" w:afterAutospacing="0"/>
        <w:jc w:val="both"/>
        <w:rPr>
          <w:rFonts w:ascii="Times New Roman" w:eastAsia="Calibri" w:hAnsi="Times New Roman" w:cs="Times New Roman"/>
          <w:sz w:val="22"/>
          <w:szCs w:val="22"/>
        </w:rPr>
      </w:pPr>
      <w:r w:rsidRPr="003F69DA">
        <w:rPr>
          <w:rFonts w:ascii="Times New Roman" w:eastAsia="Calibri" w:hAnsi="Times New Roman" w:cs="Times New Roman"/>
          <w:sz w:val="22"/>
          <w:szCs w:val="22"/>
        </w:rPr>
        <w:lastRenderedPageBreak/>
        <w:t>Multi-level governance is defined as the dispersion of the authoritarian decision-making authority of the state at multiple territorial levels. In this respect, the level of analysis of the theory is the actors. The point where most studies in the literature intersect is that European integration threatens nation states. In this respect, it is an alternative view to the state-centered approach. However, nation states retain the distinction of being “the most important piece of the European Union puzzle”. In this respect, it approaches the state-centered understanding. (Marks, Hooghe, Blank: 1996, p. 346)</w:t>
      </w:r>
    </w:p>
    <w:p w:rsidR="0006798D" w:rsidRPr="003F69DA" w:rsidRDefault="00F53B5D" w:rsidP="00AD123D">
      <w:pPr>
        <w:pStyle w:val="NormalWeb"/>
        <w:spacing w:before="120" w:beforeAutospacing="0" w:after="120" w:afterAutospacing="0"/>
        <w:jc w:val="both"/>
        <w:rPr>
          <w:rFonts w:ascii="Times New Roman" w:eastAsia="Calibri" w:hAnsi="Times New Roman" w:cs="Times New Roman"/>
          <w:sz w:val="22"/>
          <w:szCs w:val="22"/>
        </w:rPr>
      </w:pPr>
      <w:r>
        <w:rPr>
          <w:rFonts w:ascii="Times New Roman" w:eastAsia="Calibri" w:hAnsi="Times New Roman" w:cs="Times New Roman"/>
          <w:sz w:val="22"/>
          <w:szCs w:val="22"/>
        </w:rPr>
        <w:t>Integration, as a superior authority that uses some regulatory powers, while the EU's legitimacy is primarily derived from nation states. In terms of democracy theory, EU legitimacy is an indirect legitimacy. The basis of this type of legitimacy is based on the special legal drafts of legal institutions determined as transnational institutionalization that provides the coordination of solid transnational networks and management systems. In parallel with this, the EU has recently used a multi-level, multi-centered governance structure. In the making and implementation of decisions in transnational structures, the EU is divided into networks, partnerships and private actors. In this respect, the multi-level team shows itself as a structure that shapes the EU with pluralism, where there is no hierarchy, elite negotiations, nation-statism decreases and at the same time the political parties, parliamentary rules and executive power decrease at the national level. (Eriksen: 2009, p. 159)</w:t>
      </w:r>
    </w:p>
    <w:p w:rsidR="0006798D" w:rsidRPr="003F69DA" w:rsidRDefault="0006798D" w:rsidP="00AD123D">
      <w:pPr>
        <w:pStyle w:val="NormalWeb"/>
        <w:spacing w:before="120" w:beforeAutospacing="0" w:after="120" w:afterAutospacing="0"/>
        <w:jc w:val="both"/>
        <w:rPr>
          <w:rFonts w:ascii="Times New Roman" w:eastAsia="Calibri" w:hAnsi="Times New Roman" w:cs="Times New Roman"/>
          <w:sz w:val="22"/>
          <w:szCs w:val="22"/>
        </w:rPr>
      </w:pPr>
      <w:r w:rsidRPr="003F69DA">
        <w:rPr>
          <w:rFonts w:ascii="Times New Roman" w:eastAsia="Calibri" w:hAnsi="Times New Roman" w:cs="Times New Roman"/>
          <w:sz w:val="22"/>
          <w:szCs w:val="22"/>
        </w:rPr>
        <w:t>The important question to ask here is; what is the role of the state in this new governance model?</w:t>
      </w:r>
    </w:p>
    <w:p w:rsidR="0006798D" w:rsidRPr="003F69DA" w:rsidRDefault="0006798D" w:rsidP="00AD123D">
      <w:pPr>
        <w:pStyle w:val="NormalWeb"/>
        <w:spacing w:before="120" w:beforeAutospacing="0" w:after="120" w:afterAutospacing="0"/>
        <w:jc w:val="both"/>
        <w:rPr>
          <w:rFonts w:ascii="Times New Roman" w:eastAsia="Calibri" w:hAnsi="Times New Roman" w:cs="Times New Roman"/>
          <w:sz w:val="22"/>
          <w:szCs w:val="22"/>
        </w:rPr>
      </w:pPr>
      <w:r w:rsidRPr="003F69DA">
        <w:rPr>
          <w:rFonts w:ascii="Times New Roman" w:eastAsia="Calibri" w:hAnsi="Times New Roman" w:cs="Times New Roman"/>
          <w:sz w:val="22"/>
          <w:szCs w:val="22"/>
        </w:rPr>
        <w:t xml:space="preserve">What is important in this definition is the institutionalization of exchange and cooperation between both public and private actors. Multi-level governance spreads from institutions to processes. Therefore, it is interpreted as an integration process in which interests at different institutional levels spread to the entire system. Institutions are partly important in the multi-level governance process. State institutions define their relations with sub-national authorities and are also actors in the international governance process.   </w:t>
      </w:r>
    </w:p>
    <w:p w:rsidR="0006798D" w:rsidRPr="003F69DA" w:rsidRDefault="0006798D" w:rsidP="00AD123D">
      <w:pPr>
        <w:pStyle w:val="NormalWeb"/>
        <w:spacing w:before="120" w:beforeAutospacing="0" w:after="120" w:afterAutospacing="0"/>
        <w:jc w:val="both"/>
        <w:rPr>
          <w:rFonts w:ascii="Times New Roman" w:eastAsia="Calibri" w:hAnsi="Times New Roman" w:cs="Times New Roman"/>
          <w:sz w:val="22"/>
          <w:szCs w:val="22"/>
        </w:rPr>
      </w:pPr>
      <w:r w:rsidRPr="003F69DA">
        <w:rPr>
          <w:rFonts w:ascii="Times New Roman" w:eastAsia="Calibri" w:hAnsi="Times New Roman" w:cs="Times New Roman"/>
          <w:sz w:val="22"/>
          <w:szCs w:val="22"/>
        </w:rPr>
        <w:t>Secondly, multi-level governance is a special kind of relationship between various institutional levels, both horizontally and vertically. The main point here is that in multi-level governance, there is no hierarchy among actors, areas and institutions.</w:t>
      </w:r>
    </w:p>
    <w:p w:rsidR="0006798D" w:rsidRPr="003F69DA" w:rsidRDefault="0006798D" w:rsidP="00AD123D">
      <w:pPr>
        <w:pStyle w:val="NormalWeb"/>
        <w:spacing w:before="120" w:beforeAutospacing="0" w:after="120" w:afterAutospacing="0"/>
        <w:jc w:val="both"/>
        <w:rPr>
          <w:rFonts w:ascii="Times New Roman" w:eastAsia="Calibri" w:hAnsi="Times New Roman" w:cs="Times New Roman"/>
          <w:sz w:val="22"/>
          <w:szCs w:val="22"/>
        </w:rPr>
      </w:pPr>
      <w:r w:rsidRPr="003F69DA">
        <w:rPr>
          <w:rFonts w:ascii="Times New Roman" w:eastAsia="Calibri" w:hAnsi="Times New Roman" w:cs="Times New Roman"/>
          <w:sz w:val="22"/>
          <w:szCs w:val="22"/>
        </w:rPr>
        <w:t>“political fields are interrelated rather than intertwined…subnational actors intervene in both national and subnational spheres and in the process create transnational ties…States lose their monopoly power in establishing links between domestic and union actors. But there are competing decisions and conflicting interests both domestically and at European level.” (Hooghe: 1996, p. 92)</w:t>
      </w:r>
    </w:p>
    <w:p w:rsidR="0006798D" w:rsidRPr="0006798D" w:rsidRDefault="00FD4F37" w:rsidP="00AD123D">
      <w:pPr>
        <w:spacing w:before="120" w:after="120" w:line="240" w:lineRule="auto"/>
        <w:jc w:val="both"/>
        <w:rPr>
          <w:rFonts w:ascii="Times New Roman" w:eastAsia="Times New Roman" w:hAnsi="Times New Roman" w:cs="Times New Roman"/>
          <w:lang w:eastAsia="tr-TR"/>
        </w:rPr>
      </w:pPr>
      <w:r>
        <w:rPr>
          <w:rFonts w:ascii="Times New Roman" w:eastAsia="Times New Roman" w:hAnsi="Times New Roman" w:cs="Times New Roman"/>
          <w:lang w:eastAsia="tr-TR"/>
        </w:rPr>
        <w:t xml:space="preserve">There are many definitions of the concept in the literature. Gary Marks defines multi-level governance as an alternative explanation to the basic proposition of the State-centered approach. According to the state-centered approach, integration does not reduce the authority of nation states; on the contrary, the decision-making process of the union is a bargaining process carried out between member states. Member states participate in this process according to their will, and the reflection of the policies produced by the supranational authority on internal interests is limited. Multi-level governance, on the other hand, is the sharing of policy-making authority among multi-level administrations in the policy-making process. While sub-national, national, supranational states are indispensable actors in the decision-making process, there is a transfer of control towards supranational institutions. Although there is no complete erosion at the nation-state level, there is a relative loss of authority. In short, the position of the state in the collective decision-making process has changed; in this process, it has shared its authorities with autonomous union institutions and sub-national (regional, local) actors.</w:t>
      </w:r>
      <w:r w:rsidR="001707C8">
        <w:rPr>
          <w:rFonts w:ascii="Times New Roman" w:eastAsia="Calibri" w:hAnsi="Times New Roman" w:cs="Times New Roman"/>
        </w:rPr>
        <w:t>(Marks, Hooghe, Blank: 1996, p. 342-3)</w:t>
      </w:r>
    </w:p>
    <w:p w:rsidR="0006798D" w:rsidRPr="0006798D" w:rsidRDefault="0006798D" w:rsidP="00AD123D">
      <w:pPr>
        <w:spacing w:before="120" w:after="120" w:line="240" w:lineRule="auto"/>
        <w:jc w:val="both"/>
        <w:rPr>
          <w:rFonts w:ascii="Times New Roman" w:eastAsia="Times New Roman" w:hAnsi="Times New Roman" w:cs="Times New Roman"/>
          <w:lang w:eastAsia="tr-TR"/>
        </w:rPr>
      </w:pPr>
      <w:r w:rsidRPr="0006798D">
        <w:rPr>
          <w:rFonts w:ascii="Times New Roman" w:eastAsia="Times New Roman" w:hAnsi="Times New Roman" w:cs="Times New Roman"/>
          <w:lang w:eastAsia="tr-TR"/>
        </w:rPr>
        <w:t>According to Jachtenfuchs, multi-level governance is based on the establishment of “ad-hoc” connections. Multi-level governance is a negotiation process between legitimate, deliberative, institutional structures and public, private, individual and civil society actors. Both the making and implementation of decisions and the resolution of disputes describe this process. (Piattoni: 2010, p. 20)</w:t>
      </w:r>
    </w:p>
    <w:p w:rsidR="0006798D" w:rsidRPr="00625C18" w:rsidRDefault="00192C55" w:rsidP="00AD123D">
      <w:pPr>
        <w:spacing w:before="120" w:after="120" w:line="240" w:lineRule="auto"/>
        <w:jc w:val="both"/>
        <w:rPr>
          <w:rFonts w:ascii="Times New Roman" w:eastAsia="Times New Roman" w:hAnsi="Times New Roman" w:cs="Times New Roman"/>
          <w:lang w:eastAsia="tr-TR"/>
        </w:rPr>
      </w:pPr>
      <w:r>
        <w:rPr>
          <w:rFonts w:ascii="Times New Roman" w:eastAsia="Times New Roman" w:hAnsi="Times New Roman" w:cs="Times New Roman"/>
          <w:lang w:eastAsia="tr-TR"/>
        </w:rPr>
        <w:t xml:space="preserve">According to the White Paper; the Commission should act by taking into account regional and local knowledge and conditions when producing policies at the European Union level. To this end, a dialogue should be established between national, local and regional government associations and European Union institutions. In addition, national constitutions and administrative regulations should be taken into account in this process and cooperation should be established with the Committee of the Regions. This cooperation should not be structured gradually from supra-national to sub-national, but in a heterarchical manner. (White Paper on EU Governance: 2004)</w:t>
      </w:r>
    </w:p>
    <w:p w:rsidR="0006798D" w:rsidRDefault="0006798D" w:rsidP="00AD123D">
      <w:pPr>
        <w:spacing w:before="120" w:after="120" w:line="240" w:lineRule="auto"/>
        <w:jc w:val="both"/>
        <w:rPr>
          <w:rFonts w:ascii="Times New Roman" w:eastAsia="Times New Roman" w:hAnsi="Times New Roman" w:cs="Times New Roman"/>
          <w:b/>
          <w:lang w:eastAsia="tr-TR"/>
        </w:rPr>
      </w:pPr>
      <w:r w:rsidRPr="0006798D">
        <w:rPr>
          <w:rFonts w:ascii="Times New Roman" w:eastAsia="Times New Roman" w:hAnsi="Times New Roman" w:cs="Times New Roman"/>
          <w:lang w:eastAsia="tr-TR"/>
        </w:rPr>
        <w:t>The common denominator of all these definitions is that multi-level governance is a horizontal decentralization in which not only the nation state but also sub-national interests are reflected in the decision-making process; individuals, civil society organizations, the state and supra-national interest groups are included in the system as decision makers; and this is where the participation approach of governance theory and European governance overlap. In addition, in terms of authority and control, it leads to vertical decentralization by not establishing a hierarchical relationship between supra-national, national, local and regional administrative structures. This is the most important difference with governance theory.</w:t>
      </w:r>
    </w:p>
    <w:p w:rsidR="00AD123D" w:rsidRDefault="00AD123D" w:rsidP="00AD123D">
      <w:pPr>
        <w:spacing w:before="120" w:after="120" w:line="240" w:lineRule="auto"/>
        <w:jc w:val="both"/>
        <w:rPr>
          <w:rFonts w:ascii="Times New Roman" w:eastAsia="Times New Roman" w:hAnsi="Times New Roman" w:cs="Times New Roman"/>
          <w:b/>
          <w:lang w:eastAsia="tr-TR"/>
        </w:rPr>
      </w:pPr>
    </w:p>
    <w:p w:rsidR="0006798D" w:rsidRDefault="0006798D" w:rsidP="00AD123D">
      <w:pPr>
        <w:spacing w:before="120" w:after="120" w:line="240" w:lineRule="auto"/>
        <w:jc w:val="both"/>
        <w:rPr>
          <w:rFonts w:ascii="Times New Roman" w:eastAsia="Times New Roman" w:hAnsi="Times New Roman" w:cs="Times New Roman"/>
          <w:b/>
          <w:lang w:eastAsia="tr-TR"/>
        </w:rPr>
      </w:pPr>
      <w:r>
        <w:rPr>
          <w:rFonts w:ascii="Times New Roman" w:eastAsia="Times New Roman" w:hAnsi="Times New Roman" w:cs="Times New Roman"/>
          <w:b/>
          <w:lang w:eastAsia="tr-TR"/>
        </w:rPr>
        <w:t>IB) Characteristics of Multi-Level Governance as a Concept</w:t>
      </w:r>
    </w:p>
    <w:p w:rsidR="0006798D" w:rsidRPr="003F69DA" w:rsidRDefault="0006798D" w:rsidP="00AD123D">
      <w:pPr>
        <w:pStyle w:val="NormalWeb"/>
        <w:spacing w:before="120" w:beforeAutospacing="0" w:after="120" w:afterAutospacing="0"/>
        <w:jc w:val="both"/>
        <w:rPr>
          <w:rFonts w:ascii="Times New Roman" w:hAnsi="Times New Roman" w:cs="Times New Roman"/>
          <w:sz w:val="22"/>
          <w:szCs w:val="22"/>
        </w:rPr>
      </w:pPr>
      <w:r w:rsidRPr="003F69DA">
        <w:rPr>
          <w:rFonts w:ascii="Times New Roman" w:eastAsia="Calibri" w:hAnsi="Times New Roman" w:cs="Times New Roman"/>
          <w:sz w:val="22"/>
          <w:szCs w:val="22"/>
        </w:rPr>
        <w:t xml:space="preserve">In his early works, Marx discussed multi-level governance; nested polities</w:t>
      </w:r>
      <w:r w:rsidRPr="003F69DA">
        <w:rPr>
          <w:rFonts w:ascii="Times New Roman" w:hAnsi="Times New Roman" w:cs="Times New Roman"/>
          <w:sz w:val="22"/>
          <w:szCs w:val="22"/>
        </w:rPr>
        <w:t xml:space="preserve">He defines it as a system of ongoing negotiations as a result of the re-establishment of institutional existence and decisions – supranational, national, regional, local – among the nations (Marks: 1993, p. 392).</w:t>
      </w:r>
    </w:p>
    <w:p w:rsidR="0006798D" w:rsidRPr="003F69DA" w:rsidRDefault="0006798D" w:rsidP="00AD123D">
      <w:pPr>
        <w:spacing w:before="120" w:after="120" w:line="240" w:lineRule="auto"/>
        <w:jc w:val="both"/>
        <w:rPr>
          <w:rFonts w:ascii="Times New Roman" w:hAnsi="Times New Roman" w:cs="Times New Roman"/>
        </w:rPr>
      </w:pPr>
      <w:r w:rsidRPr="003F69DA">
        <w:rPr>
          <w:rFonts w:ascii="Times New Roman" w:hAnsi="Times New Roman" w:cs="Times New Roman"/>
        </w:rPr>
        <w:t>In the later stages of his studies, he particularly develops a policy network approach in domestic policy analysis. He answers the question of how multi-level governance with policy networks can be applied to supranational, national, regional and local governments.</w:t>
      </w:r>
    </w:p>
    <w:p w:rsidR="0006798D" w:rsidRPr="003F69DA" w:rsidRDefault="0006798D" w:rsidP="00AD123D">
      <w:pPr>
        <w:spacing w:before="120" w:after="120" w:line="240" w:lineRule="auto"/>
        <w:jc w:val="both"/>
        <w:rPr>
          <w:rFonts w:ascii="Times New Roman" w:hAnsi="Times New Roman" w:cs="Times New Roman"/>
        </w:rPr>
      </w:pPr>
      <w:r w:rsidRPr="003F69DA">
        <w:rPr>
          <w:rFonts w:ascii="Times New Roman" w:hAnsi="Times New Roman" w:cs="Times New Roman"/>
        </w:rPr>
        <w:t>“General solutions that require joint solutions are possible through the participation of networks, agencies and committees in joint problem solving. The action of political authority is not completely separate; the relationship between state and non-state actors is not a non-hierarchical, single-point authority, but respects state sovereignty.” (Marks: 1993, p. 402)</w:t>
      </w:r>
    </w:p>
    <w:p w:rsidR="0006798D" w:rsidRPr="003F69DA" w:rsidRDefault="0006798D" w:rsidP="00AD123D">
      <w:pPr>
        <w:spacing w:before="120" w:after="120" w:line="240" w:lineRule="auto"/>
        <w:jc w:val="both"/>
        <w:rPr>
          <w:rFonts w:ascii="Times New Roman" w:hAnsi="Times New Roman" w:cs="Times New Roman"/>
        </w:rPr>
      </w:pPr>
      <w:r w:rsidRPr="003F69DA">
        <w:rPr>
          <w:rFonts w:ascii="Times New Roman" w:hAnsi="Times New Roman" w:cs="Times New Roman"/>
        </w:rPr>
        <w:t>Thus, multi-level governance acquires both a vertical and a horizontal dimension. It points to the existence of vertical interdependence between EU institutions, national and sub-national governments, and horizontal interdependence between non-governmental organizations, local and regional actors. (Bache, Flinder: 2004, p. 3)</w:t>
      </w:r>
    </w:p>
    <w:p w:rsidR="0006798D" w:rsidRPr="00625C18" w:rsidRDefault="0006798D" w:rsidP="00AD123D">
      <w:pPr>
        <w:spacing w:before="120" w:after="120" w:line="240" w:lineRule="auto"/>
        <w:jc w:val="both"/>
        <w:rPr>
          <w:rFonts w:ascii="Times New Roman" w:hAnsi="Times New Roman" w:cs="Times New Roman"/>
        </w:rPr>
      </w:pPr>
      <w:r w:rsidRPr="003F69DA">
        <w:rPr>
          <w:rFonts w:ascii="Times New Roman" w:hAnsi="Times New Roman" w:cs="Times New Roman"/>
        </w:rPr>
        <w:t>The most striking principles of the multi-level governance model in the work of Hooghe and Marks are: (Marx,</w:t>
      </w:r>
      <w:r w:rsidR="00625C18" w:rsidRPr="00625C18">
        <w:rPr>
          <w:rFonts w:ascii="Times New Roman" w:eastAsia="Calibri" w:hAnsi="Times New Roman" w:cs="Times New Roman"/>
        </w:rPr>
        <w:t xml:space="preserve">Hooghe, Blank, 1996, p. 346-7)</w:t>
      </w:r>
    </w:p>
    <w:p w:rsidR="0006798D" w:rsidRPr="003F69DA" w:rsidRDefault="0006798D" w:rsidP="00AD123D">
      <w:pPr>
        <w:numPr>
          <w:ilvl w:val="0"/>
          <w:numId w:val="4"/>
        </w:numPr>
        <w:autoSpaceDN w:val="0"/>
        <w:spacing w:before="120" w:after="120" w:line="240" w:lineRule="auto"/>
        <w:ind w:left="0"/>
        <w:jc w:val="both"/>
        <w:rPr>
          <w:rFonts w:ascii="Times New Roman" w:hAnsi="Times New Roman" w:cs="Times New Roman"/>
        </w:rPr>
      </w:pPr>
      <w:r w:rsidRPr="003F69DA">
        <w:rPr>
          <w:rFonts w:ascii="Times New Roman" w:hAnsi="Times New Roman" w:cs="Times New Roman"/>
        </w:rPr>
        <w:t>Decision-making powers are distributed among actors at different levels rather than state authority. Thus, nation states have organized policy-making and decision-making powers at different spatial scales, and in decision-making processes, power sharing and power conflicts have emerged with various actors. Thus, the state's monopoly on the use of force has been destroyed.</w:t>
      </w:r>
    </w:p>
    <w:p w:rsidR="0006798D" w:rsidRPr="003F69DA" w:rsidRDefault="0006798D" w:rsidP="00AD123D">
      <w:pPr>
        <w:numPr>
          <w:ilvl w:val="0"/>
          <w:numId w:val="4"/>
        </w:numPr>
        <w:autoSpaceDN w:val="0"/>
        <w:spacing w:before="120" w:after="120" w:line="240" w:lineRule="auto"/>
        <w:ind w:left="0"/>
        <w:jc w:val="both"/>
        <w:rPr>
          <w:rFonts w:ascii="Times New Roman" w:hAnsi="Times New Roman" w:cs="Times New Roman"/>
        </w:rPr>
      </w:pPr>
      <w:r w:rsidRPr="003F69DA">
        <w:rPr>
          <w:rFonts w:ascii="Times New Roman" w:hAnsi="Times New Roman" w:cs="Times New Roman"/>
        </w:rPr>
        <w:t>At the supranational level, the structure that includes collective decision-making among states involves the loss of control by states as a single power in the executive. The collective decision-making mechanism of the member states of the European Union (especially through qualified majority voting in the Council) leads to a significant loss of power by individual states on decisions.</w:t>
      </w:r>
    </w:p>
    <w:p w:rsidR="0006798D" w:rsidRPr="003F69DA" w:rsidRDefault="0006798D" w:rsidP="00AD123D">
      <w:pPr>
        <w:numPr>
          <w:ilvl w:val="0"/>
          <w:numId w:val="4"/>
        </w:numPr>
        <w:autoSpaceDN w:val="0"/>
        <w:spacing w:before="120" w:after="120" w:line="240" w:lineRule="auto"/>
        <w:ind w:left="0"/>
        <w:jc w:val="both"/>
        <w:rPr>
          <w:rFonts w:ascii="Times New Roman" w:hAnsi="Times New Roman" w:cs="Times New Roman"/>
        </w:rPr>
      </w:pPr>
      <w:r w:rsidRPr="003F69DA">
        <w:rPr>
          <w:rFonts w:ascii="Times New Roman" w:hAnsi="Times New Roman" w:cs="Times New Roman"/>
        </w:rPr>
        <w:t>Political spheres are not intertwined, but interdependent; they are in communication. In this process, subnational actors intervene in both national and supranational spheres and establish transnational unions.</w:t>
      </w:r>
    </w:p>
    <w:p w:rsidR="0006798D" w:rsidRPr="003F69DA" w:rsidRDefault="0006798D" w:rsidP="00AD123D">
      <w:pPr>
        <w:pStyle w:val="NormalWeb"/>
        <w:spacing w:before="120" w:beforeAutospacing="0" w:after="120" w:afterAutospacing="0"/>
        <w:jc w:val="both"/>
        <w:rPr>
          <w:rFonts w:ascii="Times New Roman" w:eastAsia="Calibri" w:hAnsi="Times New Roman" w:cs="Times New Roman"/>
          <w:sz w:val="22"/>
          <w:szCs w:val="22"/>
        </w:rPr>
      </w:pPr>
      <w:r w:rsidRPr="003F69DA">
        <w:rPr>
          <w:rFonts w:ascii="Times New Roman" w:eastAsia="Calibri" w:hAnsi="Times New Roman" w:cs="Times New Roman"/>
          <w:sz w:val="22"/>
          <w:szCs w:val="22"/>
        </w:rPr>
        <w:t xml:space="preserve">If we look at the types of multi-level governance, Liesbet Hooghe and Gary Marks define two different types of multi-level governance. In the first type of multi-level governance, there are general jurisdictions with limited legislative authority distributed at a limited number and level. -international, national, regional and local- This structure supports the multiple functions and political responsibilities of the judicial and representative institutions. Each citizen is connected to institutions where a single jurisdiction is institutionalized in a single spatial area at different levels and whose authorities are intertwined. This type of federal structure is defined. Namely, it refers to a structure where the power is distributed among various levels of government and therefore the units of government are decisive rather than the units of analysis individually affecting the policy areas. (Hooghe, Marks: 2001, p. 5-6)</w:t>
      </w:r>
    </w:p>
    <w:p w:rsidR="0006798D" w:rsidRPr="003F69DA" w:rsidRDefault="0006798D" w:rsidP="00AD123D">
      <w:pPr>
        <w:pStyle w:val="NormalWeb"/>
        <w:spacing w:before="120" w:beforeAutospacing="0" w:after="120" w:afterAutospacing="0"/>
        <w:jc w:val="both"/>
        <w:rPr>
          <w:rFonts w:ascii="Times New Roman" w:eastAsia="Calibri" w:hAnsi="Times New Roman" w:cs="Times New Roman"/>
          <w:sz w:val="22"/>
          <w:szCs w:val="22"/>
        </w:rPr>
      </w:pPr>
      <w:r w:rsidRPr="003F69DA">
        <w:rPr>
          <w:rFonts w:ascii="Times New Roman" w:eastAsia="Calibri" w:hAnsi="Times New Roman" w:cs="Times New Roman"/>
          <w:sz w:val="22"/>
          <w:szCs w:val="22"/>
        </w:rPr>
        <w:t xml:space="preserve">Multi-level governance, a political form in which authority and policy-making are shared among structures organized at multiple levels, is included in EU studies as a reorganization of governance. With the increasing participation in decision-making in the EU, the monopoly control of nation states has been greatly reduced. However, the community still gives a key role to national governments and even influences subnational governments in some policy areas.  </w:t>
      </w:r>
    </w:p>
    <w:p w:rsidR="0006798D" w:rsidRPr="003F69DA" w:rsidRDefault="0006798D" w:rsidP="00AD123D">
      <w:pPr>
        <w:pStyle w:val="NormalWeb"/>
        <w:spacing w:before="120" w:beforeAutospacing="0" w:after="120" w:afterAutospacing="0"/>
        <w:jc w:val="both"/>
        <w:rPr>
          <w:rFonts w:ascii="Times New Roman" w:eastAsia="Calibri" w:hAnsi="Times New Roman" w:cs="Times New Roman"/>
          <w:sz w:val="22"/>
          <w:szCs w:val="22"/>
        </w:rPr>
      </w:pPr>
      <w:r w:rsidRPr="003F69DA">
        <w:rPr>
          <w:rFonts w:ascii="Times New Roman" w:eastAsia="Calibri" w:hAnsi="Times New Roman" w:cs="Times New Roman"/>
          <w:sz w:val="22"/>
          <w:szCs w:val="22"/>
        </w:rPr>
        <w:t>The second type of multi-level governance offers a flexible structured appearance where there is no separate membership consisting of special authorized courts and no unlimited number of courts. It refers to an exceptional jurisdiction defined at the level of sub-national administrations. For example, the examination of many issues in the solution of a problem arising from the provision of a certain local service - such as determining the production standard, determining the quality of water or regulating international trade problems - is based on this second type of multi-level governance. (Hooghe, Marks: 2001, p. 5-6)</w:t>
      </w:r>
    </w:p>
    <w:p w:rsidR="0003674E" w:rsidRDefault="0003674E" w:rsidP="00AD123D">
      <w:pPr>
        <w:spacing w:before="120" w:after="120" w:line="240" w:lineRule="auto"/>
        <w:jc w:val="both"/>
        <w:rPr>
          <w:rStyle w:val="KitapBal"/>
          <w:rFonts w:ascii="Times New Roman" w:hAnsi="Times New Roman" w:cs="Times New Roman"/>
        </w:rPr>
      </w:pPr>
    </w:p>
    <w:p w:rsidR="00924B1D" w:rsidRDefault="005114B6" w:rsidP="00AD123D">
      <w:pPr>
        <w:spacing w:before="120" w:after="120" w:line="240" w:lineRule="auto"/>
        <w:jc w:val="both"/>
        <w:rPr>
          <w:rStyle w:val="KitapBal"/>
          <w:rFonts w:ascii="Times New Roman" w:hAnsi="Times New Roman" w:cs="Times New Roman"/>
        </w:rPr>
      </w:pPr>
      <w:r w:rsidRPr="005114B6">
        <w:rPr>
          <w:rStyle w:val="KitapBal"/>
          <w:rFonts w:ascii="Times New Roman" w:hAnsi="Times New Roman" w:cs="Times New Roman"/>
        </w:rPr>
        <w:t>II) Theoretical Criticisms of Multi-Level Governance</w:t>
      </w:r>
    </w:p>
    <w:p w:rsidR="0006798D" w:rsidRPr="003F69DA" w:rsidRDefault="0006798D" w:rsidP="00B90ED8">
      <w:pPr>
        <w:pStyle w:val="NormalWeb"/>
        <w:spacing w:before="120" w:beforeAutospacing="0" w:after="120" w:afterAutospacing="0"/>
        <w:jc w:val="both"/>
        <w:rPr>
          <w:rFonts w:ascii="Times New Roman" w:eastAsia="Calibri" w:hAnsi="Times New Roman" w:cs="Times New Roman"/>
        </w:rPr>
      </w:pPr>
      <w:r w:rsidRPr="003F69DA">
        <w:rPr>
          <w:rFonts w:ascii="Times New Roman" w:eastAsia="Calibri" w:hAnsi="Times New Roman" w:cs="Times New Roman"/>
          <w:sz w:val="22"/>
          <w:szCs w:val="22"/>
        </w:rPr>
        <w:t>We see the criticism of the concept of multi-level governance in the works of Jordan[1] and Jeffery[2]. At this point, let us briefly explain the criticism based on the above-mentioned works.</w:t>
      </w:r>
    </w:p>
    <w:p w:rsidR="009B504F" w:rsidRDefault="009B504F" w:rsidP="00AD123D">
      <w:pPr>
        <w:spacing w:before="120" w:after="120" w:line="240" w:lineRule="auto"/>
        <w:jc w:val="both"/>
        <w:rPr>
          <w:rFonts w:ascii="Times New Roman" w:eastAsia="Times New Roman" w:hAnsi="Times New Roman" w:cs="Times New Roman"/>
          <w:b/>
          <w:lang w:eastAsia="tr-TR"/>
        </w:rPr>
      </w:pPr>
    </w:p>
    <w:p w:rsidR="00924B1D" w:rsidRDefault="00924B1D" w:rsidP="00AD123D">
      <w:pPr>
        <w:spacing w:before="120" w:after="120" w:line="240" w:lineRule="auto"/>
        <w:jc w:val="both"/>
        <w:rPr>
          <w:rFonts w:ascii="Times New Roman" w:eastAsia="Times New Roman" w:hAnsi="Times New Roman" w:cs="Times New Roman"/>
          <w:b/>
          <w:lang w:eastAsia="tr-TR"/>
        </w:rPr>
      </w:pPr>
      <w:r>
        <w:rPr>
          <w:rFonts w:ascii="Times New Roman" w:eastAsia="Times New Roman" w:hAnsi="Times New Roman" w:cs="Times New Roman"/>
          <w:b/>
          <w:lang w:eastAsia="tr-TR"/>
        </w:rPr>
        <w:t>II-A) &lt;&lt;Multi-Level Governance is Not a Theory: It is an “Eclectic” Synthesis Created by Combining Previous Theories&gt;&gt;</w:t>
      </w:r>
    </w:p>
    <w:p w:rsidR="00192C55" w:rsidRDefault="00192C55" w:rsidP="00192C55">
      <w:pPr>
        <w:spacing w:before="120" w:after="120" w:line="240" w:lineRule="auto"/>
        <w:jc w:val="both"/>
        <w:rPr>
          <w:rFonts w:ascii="Times New Roman" w:eastAsia="Times New Roman" w:hAnsi="Times New Roman" w:cs="Times New Roman"/>
          <w:lang w:eastAsia="tr-TR"/>
        </w:rPr>
      </w:pPr>
      <w:r>
        <w:rPr>
          <w:rFonts w:ascii="Times New Roman" w:eastAsia="Times New Roman" w:hAnsi="Times New Roman" w:cs="Times New Roman"/>
          <w:lang w:eastAsia="tr-TR"/>
        </w:rPr>
        <w:t>The theoretical examination of the concept of multi-level governance is based on the supra-national/state-centric distinction of the European Union integration theories. This dual distinction is also addressed as the “supra-national/inter-governmental dicotomy” in the literature. (George: 2004, p. 108)</w:t>
      </w:r>
    </w:p>
    <w:p w:rsidR="00192C55" w:rsidRDefault="00192C55" w:rsidP="00192C55">
      <w:pPr>
        <w:spacing w:before="120" w:after="120" w:line="240" w:lineRule="auto"/>
        <w:jc w:val="both"/>
        <w:rPr>
          <w:rFonts w:ascii="Times New Roman" w:eastAsia="Times New Roman" w:hAnsi="Times New Roman" w:cs="Times New Roman"/>
          <w:lang w:eastAsia="tr-TR"/>
        </w:rPr>
      </w:pPr>
      <w:r>
        <w:rPr>
          <w:rFonts w:ascii="Times New Roman" w:eastAsia="Times New Roman" w:hAnsi="Times New Roman" w:cs="Times New Roman"/>
          <w:lang w:eastAsia="tr-TR"/>
        </w:rPr>
        <w:t>When explaining multi-level governance, Marx and his colleagues argue that the concept is a conceptualization beyond the supranational-intergovernmental dichotomy. Accordingly, multi-level governance emphasizes that on the one hand, subnational actors play a key role in the decision-making process, and on the other hand, nation states continue to be the most important piece of the puzzle of European integration.</w:t>
      </w:r>
    </w:p>
    <w:p w:rsidR="00192C55" w:rsidRDefault="00192C55" w:rsidP="00192C55">
      <w:pPr>
        <w:spacing w:before="120" w:after="120" w:line="240" w:lineRule="auto"/>
        <w:jc w:val="both"/>
        <w:rPr>
          <w:rFonts w:ascii="Times New Roman" w:eastAsia="Times New Roman" w:hAnsi="Times New Roman" w:cs="Times New Roman"/>
          <w:lang w:eastAsia="tr-TR"/>
        </w:rPr>
      </w:pPr>
      <w:r>
        <w:rPr>
          <w:rFonts w:ascii="Times New Roman" w:eastAsia="Times New Roman" w:hAnsi="Times New Roman" w:cs="Times New Roman"/>
          <w:lang w:eastAsia="tr-TR"/>
        </w:rPr>
        <w:t xml:space="preserve">At this point, it is necessary to explain the supranational-intergovernmental dichotomy.    </w:t>
      </w:r>
    </w:p>
    <w:p w:rsidR="00192C55" w:rsidRPr="00192C55" w:rsidRDefault="00192C55" w:rsidP="00192C55">
      <w:pPr>
        <w:spacing w:before="120" w:after="120" w:line="240" w:lineRule="auto"/>
        <w:jc w:val="both"/>
        <w:rPr>
          <w:rFonts w:ascii="Times New Roman" w:eastAsia="Times New Roman" w:hAnsi="Times New Roman" w:cs="Times New Roman"/>
          <w:lang w:eastAsia="tr-TR"/>
        </w:rPr>
      </w:pPr>
      <w:r>
        <w:rPr>
          <w:rFonts w:ascii="Times New Roman" w:eastAsia="Times New Roman" w:hAnsi="Times New Roman" w:cs="Times New Roman"/>
          <w:lang w:eastAsia="tr-TR"/>
        </w:rPr>
        <w:lastRenderedPageBreak/>
        <w:t xml:space="preserve">The leading theory of the supranational thesis is Neo-functionalism. This theory emphasizes the importance of supranational actors, especially the elites who carry out the process, in the integration process. The interests of supranational and subnational actors are effective in the decision-making and integration process. The important concept used by neo-functionalists is the spillover effect. Accordingly, each integration step logically forms the basis for moving to the next stage of integration. Early neo-functionalists talk about two types of spillover effects. These are functional and political spillover effects.</w:t>
      </w:r>
      <w:r>
        <w:rPr>
          <w:rFonts w:eastAsia="Times New Roman" w:cs="Times New Roman"/>
          <w:lang w:eastAsia="tr-TR"/>
        </w:rPr>
        <w:t xml:space="preserve"> </w:t>
      </w:r>
      <w:r w:rsidRPr="00192C55">
        <w:rPr>
          <w:rFonts w:ascii="Times New Roman" w:eastAsia="Times New Roman" w:hAnsi="Times New Roman" w:cs="Times New Roman"/>
          <w:lang w:eastAsia="tr-TR"/>
        </w:rPr>
        <w:t>(Collective: 2004, p. 30)</w:t>
      </w:r>
    </w:p>
    <w:p w:rsidR="00192C55" w:rsidRPr="00192C55" w:rsidRDefault="00192C55" w:rsidP="00192C55">
      <w:pPr>
        <w:pStyle w:val="NormalWeb"/>
        <w:spacing w:before="120" w:beforeAutospacing="0" w:after="120" w:afterAutospacing="0"/>
        <w:jc w:val="both"/>
        <w:rPr>
          <w:rFonts w:ascii="Times New Roman" w:eastAsia="Times New Roman" w:hAnsi="Times New Roman" w:cs="Times New Roman"/>
          <w:sz w:val="22"/>
          <w:szCs w:val="22"/>
          <w:lang w:eastAsia="tr-TR"/>
        </w:rPr>
      </w:pPr>
      <w:r w:rsidRPr="00192C55">
        <w:rPr>
          <w:rFonts w:ascii="Times New Roman" w:eastAsia="Times New Roman" w:hAnsi="Times New Roman" w:cs="Times New Roman"/>
          <w:sz w:val="22"/>
          <w:szCs w:val="22"/>
          <w:lang w:eastAsia="tr-TR"/>
        </w:rPr>
        <w:t xml:space="preserve">Functional spillover has an important place in theory. Accordingly, a technical cooperation between the member states of the union for an economic reason will prepare the ground for cooperation in another field concerning that economic sector. For example, the single market program could not be achieved until the transition to a common monetary system.</w:t>
      </w:r>
    </w:p>
    <w:p w:rsidR="00192C55" w:rsidRPr="00192C55" w:rsidRDefault="00F6458C" w:rsidP="00192C55">
      <w:pPr>
        <w:pStyle w:val="NormalWeb"/>
        <w:spacing w:before="120" w:beforeAutospacing="0" w:after="120" w:afterAutospacing="0"/>
        <w:jc w:val="both"/>
        <w:rPr>
          <w:rFonts w:ascii="Times New Roman" w:eastAsia="Times New Roman" w:hAnsi="Times New Roman" w:cs="Times New Roman"/>
          <w:sz w:val="22"/>
          <w:szCs w:val="22"/>
          <w:lang w:eastAsia="tr-TR"/>
        </w:rPr>
      </w:pPr>
      <w:r>
        <w:rPr>
          <w:rFonts w:ascii="Times New Roman" w:eastAsia="Times New Roman" w:hAnsi="Times New Roman" w:cs="Times New Roman"/>
          <w:sz w:val="22"/>
          <w:szCs w:val="22"/>
          <w:lang w:eastAsia="tr-TR"/>
        </w:rPr>
        <w:t>The criticism of the theory is that it gives excessive importance to supranational interest groups and elites and evaluates the nation state as weak in this process. Indeed, the "Luxembourg Compromise" showed that the theory was based on normative concepts and summarized the current situation of the union. After the compromise, states gained importance in the decision-making process.</w:t>
      </w:r>
    </w:p>
    <w:p w:rsidR="00192C55" w:rsidRPr="00192C55" w:rsidRDefault="00192C55" w:rsidP="00192C55">
      <w:pPr>
        <w:pStyle w:val="NormalWeb"/>
        <w:spacing w:before="120" w:beforeAutospacing="0" w:after="120" w:afterAutospacing="0"/>
        <w:jc w:val="both"/>
        <w:rPr>
          <w:rFonts w:ascii="Times New Roman" w:eastAsia="Times New Roman" w:hAnsi="Times New Roman" w:cs="Times New Roman"/>
          <w:sz w:val="22"/>
          <w:szCs w:val="22"/>
          <w:lang w:eastAsia="tr-TR"/>
        </w:rPr>
      </w:pPr>
      <w:r>
        <w:rPr>
          <w:rFonts w:ascii="Times New Roman" w:eastAsia="Times New Roman" w:hAnsi="Times New Roman" w:cs="Times New Roman"/>
          <w:sz w:val="22"/>
          <w:szCs w:val="22"/>
          <w:lang w:eastAsia="tr-TR"/>
        </w:rPr>
        <w:t xml:space="preserve">The forerunner of the state-centric thesis is Hoffman's intergovernmentalism theory. This theory is a response to the neo-functionalist theory. This theory focuses on the member states in the integration process. According to the intergovernmental view, the integration process is no different from a traditional negotiation process between the heads of the member states. In addition to these; this negotiation process is associated with three factors. National interests, intergovernmental bargaining, low-level joint decision-making. (Kolektif: 2004, p. 31)</w:t>
      </w:r>
    </w:p>
    <w:p w:rsidR="00192C55" w:rsidRPr="00192C55" w:rsidRDefault="00192C55" w:rsidP="00192C55">
      <w:pPr>
        <w:pStyle w:val="NormalWeb"/>
        <w:spacing w:before="120" w:beforeAutospacing="0" w:after="120" w:afterAutospacing="0"/>
        <w:jc w:val="both"/>
        <w:rPr>
          <w:rFonts w:ascii="Times New Roman" w:eastAsia="Times New Roman" w:hAnsi="Times New Roman" w:cs="Times New Roman"/>
          <w:sz w:val="22"/>
          <w:szCs w:val="22"/>
          <w:lang w:eastAsia="tr-TR"/>
        </w:rPr>
      </w:pPr>
      <w:r w:rsidRPr="00192C55">
        <w:rPr>
          <w:rFonts w:ascii="Times New Roman" w:eastAsia="Times New Roman" w:hAnsi="Times New Roman" w:cs="Times New Roman"/>
          <w:sz w:val="22"/>
          <w:szCs w:val="22"/>
          <w:lang w:eastAsia="tr-TR"/>
        </w:rPr>
        <w:t>According to Hoffman, neo-functionalist theory exaggerates the directive effect of supranational interest groups and elites. National interests may lead to different preferences. Each nation state defends its own interests. It prioritizes its own preferences and interests under its own control and tries to make decisions in line with its interests with the least compromises in the supranational decision-making process. Secondly, other actors and interests play a role in integration in intergovernmental bargaining. However, when key decisions are made, political calculations regarding internal concerns are determined in a way that protects the interests of powerful groups and are taken by states. Thirdly, nation states reach a high level of consensus on issues where they give up their sovereignty the least. National governments assume the role of “watchman” between domestic politics and supranational politics systems, depending on the stage and nature of the union. (Hoffman: 1964, pp. 93-94)</w:t>
      </w:r>
    </w:p>
    <w:p w:rsidR="00FA7E3D" w:rsidRDefault="00192C55" w:rsidP="00192C55">
      <w:pPr>
        <w:pStyle w:val="NormalWeb"/>
        <w:spacing w:before="120" w:beforeAutospacing="0" w:after="120" w:afterAutospacing="0"/>
        <w:jc w:val="both"/>
        <w:rPr>
          <w:rFonts w:ascii="Times New Roman" w:eastAsia="Calibri" w:hAnsi="Times New Roman" w:cs="Times New Roman"/>
          <w:sz w:val="22"/>
          <w:szCs w:val="22"/>
        </w:rPr>
      </w:pPr>
      <w:r>
        <w:rPr>
          <w:rFonts w:ascii="Times New Roman" w:eastAsia="Calibri" w:hAnsi="Times New Roman" w:cs="Times New Roman"/>
          <w:sz w:val="22"/>
          <w:szCs w:val="22"/>
        </w:rPr>
        <w:t xml:space="preserve">These theses were functional in explaining the period between 1960-1970. However, they were insufficient in explaining the transition process to political union in the European Community after 1980. The deficiencies of Hoffman's intergovernmentalism approach were reviewed with Pollack and Moravcsik's Liberal intergovernmentalism approach. Moravcsik, while preserving the basic propositions of intergovernmentalism, states that the effects of subnational actors and the changes in preferences in the distribution of power are shaped under the pressure and determination of nation states. The conceptualization of multi-level governance, on the other hand, has been evaluated as a rearrangement of neo-functionalism in the same period with its pluralistic traces and the importance it gives to interest groups.</w:t>
      </w:r>
    </w:p>
    <w:p w:rsidR="00192C55" w:rsidRDefault="00FA7E3D" w:rsidP="00192C55">
      <w:pPr>
        <w:pStyle w:val="NormalWeb"/>
        <w:spacing w:before="120" w:beforeAutospacing="0" w:after="120" w:afterAutospacing="0"/>
        <w:jc w:val="both"/>
        <w:rPr>
          <w:rFonts w:ascii="Times New Roman" w:eastAsia="Calibri" w:hAnsi="Times New Roman" w:cs="Times New Roman"/>
          <w:sz w:val="22"/>
          <w:szCs w:val="22"/>
        </w:rPr>
      </w:pPr>
      <w:r>
        <w:rPr>
          <w:rFonts w:ascii="Times New Roman" w:eastAsia="Calibri" w:hAnsi="Times New Roman" w:cs="Times New Roman"/>
          <w:sz w:val="22"/>
          <w:szCs w:val="22"/>
        </w:rPr>
        <w:t>Multi-level governance differs from neo-functionalist theory in two respects. The autonomy of sub-national actors may be at different levels in different countries and accordingly the balance in their relationship with the nation state in the decision-making process may change. Secondly, the spillover effect is not mentioned. The reason for this is that it is far from explaining the situation of the Union after 1992. Therefore, multi-level governance produces a partial explanation with the analysis tools of neo-functionalism.    </w:t>
      </w:r>
    </w:p>
    <w:p w:rsidR="00FA7E3D" w:rsidRDefault="00FA7E3D" w:rsidP="00192C55">
      <w:pPr>
        <w:pStyle w:val="NormalWeb"/>
        <w:spacing w:before="120" w:beforeAutospacing="0" w:after="120" w:afterAutospacing="0"/>
        <w:jc w:val="both"/>
        <w:rPr>
          <w:rFonts w:ascii="Times New Roman" w:eastAsia="Calibri" w:hAnsi="Times New Roman" w:cs="Times New Roman"/>
          <w:sz w:val="22"/>
          <w:szCs w:val="22"/>
        </w:rPr>
      </w:pPr>
      <w:r>
        <w:rPr>
          <w:rFonts w:ascii="Times New Roman" w:eastAsia="Calibri" w:hAnsi="Times New Roman" w:cs="Times New Roman"/>
          <w:sz w:val="22"/>
          <w:szCs w:val="22"/>
        </w:rPr>
        <w:t>Multi-level governance is therefore a combination of previously established theories. Multi-level governance is not a new form of analysis as Marx claims, it is based on a part of neo-functionalist theory. As Gary Marx puts it,</w:t>
      </w:r>
      <w:r w:rsidR="0006798D" w:rsidRPr="003F69DA">
        <w:rPr>
          <w:rFonts w:ascii="Times New Roman" w:hAnsi="Times New Roman" w:cs="Times New Roman"/>
          <w:sz w:val="22"/>
          <w:szCs w:val="22"/>
        </w:rPr>
        <w:t>European Integration from 1980's: State Cenric vs. “Multi Level Governance”</w:t>
      </w:r>
      <w:r w:rsidR="0006798D" w:rsidRPr="003F69DA">
        <w:rPr>
          <w:rFonts w:ascii="Times New Roman" w:eastAsia="Calibri" w:hAnsi="Times New Roman" w:cs="Times New Roman"/>
          <w:sz w:val="22"/>
          <w:szCs w:val="22"/>
        </w:rPr>
        <w:t xml:space="preserve">The title of his work indicates this.</w:t>
      </w:r>
    </w:p>
    <w:p w:rsidR="0006798D" w:rsidRPr="003F69DA" w:rsidRDefault="0006798D" w:rsidP="00192C55">
      <w:pPr>
        <w:pStyle w:val="NormalWeb"/>
        <w:spacing w:before="120" w:beforeAutospacing="0" w:after="120" w:afterAutospacing="0"/>
        <w:jc w:val="both"/>
        <w:rPr>
          <w:rFonts w:ascii="Times New Roman" w:eastAsia="Calibri" w:hAnsi="Times New Roman" w:cs="Times New Roman"/>
          <w:sz w:val="22"/>
          <w:szCs w:val="22"/>
        </w:rPr>
      </w:pPr>
      <w:r w:rsidRPr="003F69DA">
        <w:rPr>
          <w:rFonts w:ascii="Times New Roman" w:eastAsia="Calibri" w:hAnsi="Times New Roman" w:cs="Times New Roman"/>
          <w:sz w:val="22"/>
          <w:szCs w:val="22"/>
        </w:rPr>
        <w:t>Secondly; just like neo-functionalists, it is necessary to increase the autonomy of sub-national actors in order for policy areas to adapt to Europeanization. Therefore, it is necessary to produce a thesis against the state-centric theory. If there is a one-way relationship between the national central government and supranational institutions, as in the state-centric thesis, it is not possible for sub-national actors to influence preferences. The only serious difference between multi-level governance and neo-functionalism is that it rejects the functional spillover effect. The spillover effect was a thesis that was valid in the 1960s. Therefore, the argument that multi-level governance is not original is valid. (George: 2004, p. 112)</w:t>
      </w:r>
    </w:p>
    <w:p w:rsidR="00FA7E3D" w:rsidRDefault="00FA7E3D" w:rsidP="00AD123D">
      <w:pPr>
        <w:spacing w:before="120" w:after="120" w:line="240" w:lineRule="auto"/>
        <w:jc w:val="both"/>
        <w:rPr>
          <w:rFonts w:ascii="Times New Roman" w:eastAsia="Times New Roman" w:hAnsi="Times New Roman" w:cs="Times New Roman"/>
          <w:b/>
          <w:lang w:eastAsia="tr-TR"/>
        </w:rPr>
      </w:pPr>
    </w:p>
    <w:p w:rsidR="00AE56FC" w:rsidRDefault="00924B1D" w:rsidP="00AD123D">
      <w:pPr>
        <w:spacing w:before="120" w:after="120" w:line="240" w:lineRule="auto"/>
        <w:jc w:val="both"/>
        <w:rPr>
          <w:rFonts w:ascii="Times New Roman" w:eastAsia="Times New Roman" w:hAnsi="Times New Roman" w:cs="Times New Roman"/>
          <w:b/>
          <w:lang w:eastAsia="tr-TR"/>
        </w:rPr>
      </w:pPr>
      <w:r>
        <w:rPr>
          <w:rFonts w:ascii="Times New Roman" w:eastAsia="Times New Roman" w:hAnsi="Times New Roman" w:cs="Times New Roman"/>
          <w:b/>
          <w:lang w:eastAsia="tr-TR"/>
        </w:rPr>
        <w:t>II-B)&lt;&lt;Multi-Level Governance is a Form of Description of the European Union: Therefore Not a Theory&gt;&gt;</w:t>
      </w:r>
    </w:p>
    <w:p w:rsidR="00A63861" w:rsidRDefault="0006798D" w:rsidP="00AD123D">
      <w:pPr>
        <w:pStyle w:val="NormalWeb"/>
        <w:spacing w:before="120" w:beforeAutospacing="0" w:after="120" w:afterAutospacing="0"/>
        <w:jc w:val="both"/>
        <w:rPr>
          <w:rFonts w:ascii="Times New Roman" w:eastAsia="Calibri" w:hAnsi="Times New Roman" w:cs="Times New Roman"/>
          <w:sz w:val="22"/>
          <w:szCs w:val="22"/>
        </w:rPr>
      </w:pPr>
      <w:r w:rsidRPr="003F69DA">
        <w:rPr>
          <w:rFonts w:ascii="Times New Roman" w:eastAsia="Calibri" w:hAnsi="Times New Roman" w:cs="Times New Roman"/>
          <w:sz w:val="22"/>
          <w:szCs w:val="22"/>
        </w:rPr>
        <w:t xml:space="preserve">It is a way of defining the EU, not a theory: There are two issues underlying these criticisms. First; there is no driving force for integration. Second; there is no testable hypothesis. According to the first element; while explaining EU integration, it turns to governance theory. It tries to find the dynamics of the integration process. Both why nation states agree to transfer their authority and the strategies it offers to sub-national actors overlap with neo-functionalism. “This effort is a legitimate intellectual effort” but it is far from solving the problem. (Jordan: 2001, p. 201)</w:t>
      </w:r>
    </w:p>
    <w:p w:rsidR="00A63861" w:rsidRPr="003F69DA" w:rsidRDefault="00A63861" w:rsidP="00AD123D">
      <w:pPr>
        <w:pStyle w:val="NormalWeb"/>
        <w:spacing w:before="120" w:beforeAutospacing="0" w:after="120" w:afterAutospacing="0"/>
        <w:jc w:val="both"/>
        <w:rPr>
          <w:rFonts w:ascii="Times New Roman" w:eastAsia="Calibri" w:hAnsi="Times New Roman" w:cs="Times New Roman"/>
          <w:sz w:val="22"/>
          <w:szCs w:val="22"/>
        </w:rPr>
      </w:pPr>
      <w:r>
        <w:rPr>
          <w:rFonts w:ascii="Times New Roman" w:eastAsia="Calibri" w:hAnsi="Times New Roman" w:cs="Times New Roman"/>
          <w:sz w:val="22"/>
          <w:szCs w:val="22"/>
        </w:rPr>
        <w:lastRenderedPageBreak/>
        <w:t>The important question here is why central governments agree to share their power with subnational actors. Marx answers this question in three dimensions. Government leaders want this to happen, secondly, central governments give up some of their powers in favor of subnational actors in order to maintain their legitimacy. Finally, there is a forced acceptance since they cannot prevent the erosion of their powers. The strongest reason why government leaders want this is to influence EU institutions in the process of making supranational laws. A supranational law draft that also receives the approval of subnational actors cannot be rejected at both national and supranational levels. In addition, they can get rid of some of the responsibility by transferring some of their autonomy to subnational actors during the internal negotiation process. As can be seen, in connection with the first criticism, the intellectual basis of multi-level governance is based on the neo-functionalist thesis. (George: 2004, pp. 116-117)  </w:t>
      </w:r>
    </w:p>
    <w:p w:rsidR="0006798D" w:rsidRDefault="0006798D" w:rsidP="00AD123D">
      <w:pPr>
        <w:pStyle w:val="NormalWeb"/>
        <w:spacing w:before="120" w:beforeAutospacing="0" w:after="120" w:afterAutospacing="0"/>
        <w:jc w:val="both"/>
        <w:rPr>
          <w:rFonts w:ascii="Times New Roman" w:eastAsia="Calibri" w:hAnsi="Times New Roman" w:cs="Times New Roman"/>
          <w:sz w:val="22"/>
          <w:szCs w:val="22"/>
        </w:rPr>
      </w:pPr>
      <w:r w:rsidRPr="003F69DA">
        <w:rPr>
          <w:rFonts w:ascii="Times New Roman" w:eastAsia="Calibri" w:hAnsi="Times New Roman" w:cs="Times New Roman"/>
          <w:sz w:val="22"/>
          <w:szCs w:val="22"/>
        </w:rPr>
        <w:t>Secondly, regarding the absence of a testable hypothesis, Hooghe states that he did not produce a general hypothesis in his study, and that he defended the same hypothesis as Neo-functionalism.[3] This is methodologically incorrect. At the end of his study, however, subnational participation has increased, but it has increased unequally across countries. He states that participation has occurred at different levels in different countries. The reason for this is that national central governments have different regulations. However, subsequent studies have shown that there can be different levels of participation not only among member states but also in different regions of a member state. Therefore, this argument regarding participation should not be generalized. In these respects, multi-level governance can be defined as a “paradigm” or a “forced metaphor”. (Jordan: 2001, p. 202)</w:t>
      </w:r>
    </w:p>
    <w:p w:rsidR="0003674E" w:rsidRDefault="0003674E" w:rsidP="00AD123D">
      <w:pPr>
        <w:pStyle w:val="NormalWeb"/>
        <w:spacing w:before="120" w:beforeAutospacing="0" w:after="120" w:afterAutospacing="0"/>
        <w:jc w:val="both"/>
        <w:rPr>
          <w:rFonts w:ascii="Times New Roman" w:eastAsia="Calibri" w:hAnsi="Times New Roman" w:cs="Times New Roman"/>
          <w:sz w:val="22"/>
          <w:szCs w:val="22"/>
        </w:rPr>
      </w:pPr>
      <w:r>
        <w:rPr>
          <w:rFonts w:ascii="Times New Roman" w:eastAsia="Calibri" w:hAnsi="Times New Roman" w:cs="Times New Roman"/>
          <w:sz w:val="22"/>
          <w:szCs w:val="22"/>
        </w:rPr>
        <w:t xml:space="preserve">According to Jordan, multi-level governance should cooperate with other theories to become a theory, and should strengthen its theoretical pattern by borrowing their concepts. For example, Hoffman's Intergovernmentalism and Moravcsik's Liberal Intergovernmentalism theses use the concepts of rational choice theory and game theory in terms of explaining the decision-making process. In this respect, it strengthens its claim of being scientific. Multi-level governance, on the other hand, as an actor-centered approach, approaches public choice theory, which is a branch of rational choice theory, as Keating also said. According to Jordan, in order to use rational choice theory, it should first determine the actors as Moravcsik or Rhodes did. A point that should be noted here is that, as Thielmann said and George quoted, the social structure determines multi-level governance differently, and should be supported entirely by the concepts of Social Institutionalism theory.</w:t>
      </w:r>
    </w:p>
    <w:p w:rsidR="0003674E" w:rsidRDefault="0003674E" w:rsidP="0003674E">
      <w:pPr>
        <w:pStyle w:val="NormalWeb"/>
        <w:spacing w:before="120" w:beforeAutospacing="0" w:after="120" w:afterAutospacing="0"/>
        <w:jc w:val="both"/>
        <w:rPr>
          <w:rFonts w:ascii="Times New Roman" w:eastAsia="Calibri" w:hAnsi="Times New Roman" w:cs="Times New Roman"/>
          <w:sz w:val="22"/>
          <w:szCs w:val="22"/>
        </w:rPr>
      </w:pPr>
      <w:r>
        <w:rPr>
          <w:rFonts w:ascii="Times New Roman" w:eastAsia="Calibri" w:hAnsi="Times New Roman" w:cs="Times New Roman"/>
          <w:sz w:val="22"/>
          <w:szCs w:val="22"/>
        </w:rPr>
        <w:t>In this case, the concept of multi-level governance will be freed from the supranational/state-centric dichotomy of integration theories but will remain between the social constructivist/rational choice dichotomy. As Jordan said and George supported, the most appropriate conceptual support for multi-level governance will be historical institutionalism. (Jordan: 2001, p. 202; George 2004, pp. 117-118)</w:t>
      </w:r>
    </w:p>
    <w:p w:rsidR="0003674E" w:rsidRDefault="0003674E" w:rsidP="0003674E">
      <w:pPr>
        <w:pStyle w:val="NormalWeb"/>
        <w:spacing w:before="120" w:beforeAutospacing="0" w:after="120" w:afterAutospacing="0"/>
        <w:jc w:val="both"/>
        <w:rPr>
          <w:rFonts w:ascii="Times New Roman" w:eastAsia="Calibri" w:hAnsi="Times New Roman" w:cs="Times New Roman"/>
          <w:sz w:val="22"/>
          <w:szCs w:val="22"/>
        </w:rPr>
      </w:pPr>
      <w:r>
        <w:rPr>
          <w:rFonts w:ascii="Times New Roman" w:eastAsia="Calibri" w:hAnsi="Times New Roman" w:cs="Times New Roman"/>
          <w:sz w:val="22"/>
          <w:szCs w:val="22"/>
        </w:rPr>
        <w:t xml:space="preserve">     </w:t>
      </w:r>
    </w:p>
    <w:p w:rsidR="00D31394" w:rsidRPr="00924B1D" w:rsidRDefault="00D31394" w:rsidP="0003674E">
      <w:pPr>
        <w:pStyle w:val="NormalWeb"/>
        <w:spacing w:before="120" w:beforeAutospacing="0" w:after="120" w:afterAutospacing="0"/>
        <w:jc w:val="both"/>
        <w:rPr>
          <w:rFonts w:ascii="Times New Roman" w:eastAsia="Times New Roman" w:hAnsi="Times New Roman" w:cs="Times New Roman"/>
          <w:b/>
          <w:lang w:eastAsia="tr-TR"/>
        </w:rPr>
      </w:pPr>
      <w:r>
        <w:rPr>
          <w:rFonts w:ascii="Times New Roman" w:eastAsia="Times New Roman" w:hAnsi="Times New Roman" w:cs="Times New Roman"/>
          <w:b/>
          <w:lang w:eastAsia="tr-TR"/>
        </w:rPr>
        <w:t>CONCLUSION</w:t>
      </w:r>
    </w:p>
    <w:p w:rsidR="00F6458C" w:rsidRDefault="00F6458C" w:rsidP="003F69DA">
      <w:pPr>
        <w:autoSpaceDE w:val="0"/>
        <w:autoSpaceDN w:val="0"/>
        <w:adjustRightInd w:val="0"/>
        <w:spacing w:before="120" w:after="120" w:line="240" w:lineRule="auto"/>
        <w:jc w:val="both"/>
        <w:rPr>
          <w:rFonts w:ascii="Times New Roman" w:eastAsia="Times New Roman" w:hAnsi="Times New Roman" w:cs="Times New Roman"/>
          <w:lang w:eastAsia="tr-TR"/>
        </w:rPr>
      </w:pPr>
      <w:r>
        <w:rPr>
          <w:rFonts w:ascii="Times New Roman" w:eastAsia="Times New Roman" w:hAnsi="Times New Roman" w:cs="Times New Roman"/>
          <w:lang w:eastAsia="tr-TR"/>
        </w:rPr>
        <w:t>This study includes criticisms and discussions on the scientific nature of the concept of multi-level governance, which has been addressed in the European integration literature after 1990. The concept of multi-level governance claims that the monopoly feature of nation states in terms of decision-making and execution has been eroded by sharing their powers with sub-national and supra-national actors, and that there is an interdependent interaction between the areas where policies are made and decisions are made.</w:t>
      </w:r>
    </w:p>
    <w:p w:rsidR="00F6458C" w:rsidRDefault="00F6458C" w:rsidP="003F69DA">
      <w:pPr>
        <w:autoSpaceDE w:val="0"/>
        <w:autoSpaceDN w:val="0"/>
        <w:adjustRightInd w:val="0"/>
        <w:spacing w:before="120" w:after="120" w:line="240" w:lineRule="auto"/>
        <w:jc w:val="both"/>
        <w:rPr>
          <w:rFonts w:ascii="Times New Roman" w:eastAsia="Times New Roman" w:hAnsi="Times New Roman" w:cs="Times New Roman"/>
          <w:lang w:eastAsia="tr-TR"/>
        </w:rPr>
      </w:pPr>
      <w:r>
        <w:rPr>
          <w:rFonts w:ascii="Times New Roman" w:eastAsia="Times New Roman" w:hAnsi="Times New Roman" w:cs="Times New Roman"/>
          <w:lang w:eastAsia="tr-TR"/>
        </w:rPr>
        <w:t xml:space="preserve">The first criticism against the concept is that multi-level governance is not far from the supranational/state-centered dichotomy as the basic analysis axis of integration theories, and that the neo-functionalist theory continues to emphasize the importance of supranational interest groups, and unlike it, it partially approaches the institutionalist view and refers to the unique conditions of the institutions of member states. Another point where it differs from neo-functionalists is that it does not include the functional spillover effect. The reason for this is that this form of explanation after 1990 is inadequate in explaining unity. From this point, we see that multi-level governance produces a limited explanation by partially benefiting from the analysis tools of neo-functionalists.</w:t>
      </w:r>
    </w:p>
    <w:p w:rsidR="00F6458C" w:rsidRDefault="00F6458C" w:rsidP="003F69DA">
      <w:pPr>
        <w:autoSpaceDE w:val="0"/>
        <w:autoSpaceDN w:val="0"/>
        <w:adjustRightInd w:val="0"/>
        <w:spacing w:before="120" w:after="120" w:line="240" w:lineRule="auto"/>
        <w:jc w:val="both"/>
        <w:rPr>
          <w:rFonts w:ascii="Times New Roman" w:eastAsia="Times New Roman" w:hAnsi="Times New Roman" w:cs="Times New Roman"/>
          <w:lang w:eastAsia="tr-TR"/>
        </w:rPr>
      </w:pPr>
      <w:r>
        <w:rPr>
          <w:rFonts w:ascii="Times New Roman" w:eastAsia="Times New Roman" w:hAnsi="Times New Roman" w:cs="Times New Roman"/>
          <w:lang w:eastAsia="tr-TR"/>
        </w:rPr>
        <w:t>When Marx and his friends explain multi-level governance, they say that nation-states are not the only actors in the decision-making process but the most important piece of the European Union puzzle, bringing the conceptualization closer to the state-centered thesis. Therefore, &lt;&lt;Multi-level governance is not a theory, it is an eclectic synthesis created by combining previous theories.&gt;&gt;</w:t>
      </w:r>
    </w:p>
    <w:p w:rsidR="00F6458C" w:rsidRDefault="00F6458C" w:rsidP="003F69DA">
      <w:pPr>
        <w:autoSpaceDE w:val="0"/>
        <w:autoSpaceDN w:val="0"/>
        <w:adjustRightInd w:val="0"/>
        <w:spacing w:before="120" w:after="120" w:line="240" w:lineRule="auto"/>
        <w:jc w:val="both"/>
        <w:rPr>
          <w:rFonts w:ascii="Times New Roman" w:eastAsia="Times New Roman" w:hAnsi="Times New Roman" w:cs="Times New Roman"/>
          <w:lang w:eastAsia="tr-TR"/>
        </w:rPr>
      </w:pPr>
      <w:r>
        <w:rPr>
          <w:rFonts w:ascii="Times New Roman" w:eastAsia="Times New Roman" w:hAnsi="Times New Roman" w:cs="Times New Roman"/>
          <w:lang w:eastAsia="tr-TR"/>
        </w:rPr>
        <w:t>The second criticism of multi-level governance, which is directed at the scientific nature of governance, does not provide an answer to why the concept of European integration is needed, but focuses on the question of why nation-states are willing to delegate authority to other actors in terms of decision-making and implementation. It also looks for the answer in governance theories. As can be seen, the question of what is the driving force of integration is unanswered. In addition, in order for multi-level governance to claim to be a theory, it must have a conceptual pattern and a testable hypothesis. However, Marx says that multi-level governance defends the same hypothesis as neo-functionalists. However, multi-level governance neither develops analysis at the actor level by fully determining the actors, nor fully uses the analysis tools of institutionalists. If it enters this tendency, it will fall into the trap of the social-structuralist/rational choice dichotomy. Therefore, it needs to borrow the concepts of the historical-institutionalist approach.</w:t>
      </w:r>
    </w:p>
    <w:p w:rsidR="003F69DA" w:rsidRDefault="00F6458C" w:rsidP="003F69DA">
      <w:pPr>
        <w:autoSpaceDE w:val="0"/>
        <w:autoSpaceDN w:val="0"/>
        <w:adjustRightInd w:val="0"/>
        <w:spacing w:before="120" w:after="120" w:line="240" w:lineRule="auto"/>
        <w:jc w:val="both"/>
        <w:rPr>
          <w:rFonts w:ascii="Times New Roman" w:eastAsia="Times New Roman" w:hAnsi="Times New Roman" w:cs="Times New Roman"/>
          <w:lang w:eastAsia="tr-TR"/>
        </w:rPr>
      </w:pPr>
      <w:r>
        <w:rPr>
          <w:rFonts w:ascii="Times New Roman" w:eastAsia="Times New Roman" w:hAnsi="Times New Roman" w:cs="Times New Roman"/>
          <w:lang w:eastAsia="tr-TR"/>
        </w:rPr>
        <w:lastRenderedPageBreak/>
        <w:t xml:space="preserve">In the light of these explanations, it is observed that multi-level governance is flawed in terms of its originality and methodology.     </w:t>
      </w:r>
    </w:p>
    <w:p w:rsidR="0003674E" w:rsidRDefault="0003674E" w:rsidP="00625C18">
      <w:pPr>
        <w:pStyle w:val="DipnotMetni"/>
      </w:pPr>
    </w:p>
    <w:p w:rsidR="00625C18" w:rsidRPr="00F6458C" w:rsidRDefault="00625C18" w:rsidP="00625C18">
      <w:pPr>
        <w:pStyle w:val="DipnotMetni"/>
        <w:rPr>
          <w:b/>
        </w:rPr>
      </w:pPr>
      <w:r w:rsidRPr="00F6458C">
        <w:rPr>
          <w:b/>
        </w:rPr>
        <w:t>ENDNOTE</w:t>
      </w:r>
    </w:p>
    <w:p w:rsidR="00625C18" w:rsidRPr="00741D41" w:rsidRDefault="00625C18" w:rsidP="00625C18">
      <w:pPr>
        <w:pStyle w:val="DipnotMetni"/>
      </w:pPr>
      <w:r>
        <w:t xml:space="preserve">[1] Andrew Jordan, (2001), “The European Union and Evolving System of Multi-Level Governance or Government,” Policy&amp; Politics, Vol.XXIX, No:2, points out theoretical and empirical criticisms of multi-level governance in his work.</w:t>
      </w:r>
    </w:p>
    <w:p w:rsidR="00625C18" w:rsidRDefault="00625C18" w:rsidP="00625C18">
      <w:pPr>
        <w:pStyle w:val="DipnotMetni"/>
      </w:pPr>
    </w:p>
    <w:p w:rsidR="00625C18" w:rsidRDefault="00625C18" w:rsidP="00625C18">
      <w:pPr>
        <w:pStyle w:val="DipnotMetni"/>
        <w:rPr>
          <w:rFonts w:eastAsia="Calibri"/>
        </w:rPr>
      </w:pPr>
      <w:r>
        <w:t xml:space="preserve">[2] Charlie Jeffery, (2000), “Sub-national Mobilization and European Integration: Does it Make Any Difference?,” Journal of Common Market Studies, Vol. XXXVIII, No: 1, makes observations regarding the autonomy of sub-national actors in the integration process.</w:t>
      </w:r>
    </w:p>
    <w:p w:rsidR="00F6458C" w:rsidRDefault="00F6458C" w:rsidP="00625C18">
      <w:pPr>
        <w:pStyle w:val="DipnotMetni"/>
      </w:pPr>
    </w:p>
    <w:p w:rsidR="009122D0" w:rsidRPr="00741D41" w:rsidRDefault="0003674E" w:rsidP="00FD4F37">
      <w:pPr>
        <w:pStyle w:val="DipnotMetni"/>
        <w:jc w:val="both"/>
      </w:pPr>
      <w:r>
        <w:t xml:space="preserve">[3] Hooghe tests multi-level governance in various policy areas. As he notes in his work “Building Multi-level Governance and European Integration”, limited generalisations can be made regarding multi-level governance.</w:t>
      </w:r>
    </w:p>
    <w:p w:rsidR="0003674E" w:rsidRDefault="0003674E" w:rsidP="00625C18">
      <w:pPr>
        <w:autoSpaceDE w:val="0"/>
        <w:autoSpaceDN w:val="0"/>
        <w:adjustRightInd w:val="0"/>
        <w:spacing w:before="120" w:after="120" w:line="240" w:lineRule="auto"/>
        <w:jc w:val="center"/>
        <w:rPr>
          <w:rFonts w:ascii="Times New Roman" w:eastAsia="Times New Roman" w:hAnsi="Times New Roman" w:cs="Times New Roman"/>
          <w:b/>
          <w:sz w:val="20"/>
          <w:szCs w:val="20"/>
          <w:lang w:eastAsia="tr-TR"/>
        </w:rPr>
      </w:pPr>
    </w:p>
    <w:p w:rsidR="00625C18" w:rsidRDefault="00625C18" w:rsidP="00625C18">
      <w:pPr>
        <w:autoSpaceDE w:val="0"/>
        <w:autoSpaceDN w:val="0"/>
        <w:adjustRightInd w:val="0"/>
        <w:spacing w:before="120" w:after="120" w:line="240" w:lineRule="auto"/>
        <w:jc w:val="center"/>
        <w:rPr>
          <w:rFonts w:ascii="Times New Roman" w:eastAsia="Times New Roman" w:hAnsi="Times New Roman" w:cs="Times New Roman"/>
          <w:b/>
          <w:sz w:val="20"/>
          <w:szCs w:val="20"/>
          <w:lang w:eastAsia="tr-TR"/>
        </w:rPr>
      </w:pPr>
      <w:r w:rsidRPr="00625C18">
        <w:rPr>
          <w:rFonts w:ascii="Times New Roman" w:eastAsia="Times New Roman" w:hAnsi="Times New Roman" w:cs="Times New Roman"/>
          <w:b/>
          <w:sz w:val="20"/>
          <w:szCs w:val="20"/>
          <w:lang w:eastAsia="tr-TR"/>
        </w:rPr>
        <w:t>SOURCE</w:t>
      </w:r>
    </w:p>
    <w:p w:rsidR="009122D0" w:rsidRDefault="009122D0" w:rsidP="00625C18">
      <w:pPr>
        <w:autoSpaceDE w:val="0"/>
        <w:autoSpaceDN w:val="0"/>
        <w:adjustRightInd w:val="0"/>
        <w:spacing w:before="120" w:after="120" w:line="240" w:lineRule="auto"/>
        <w:jc w:val="center"/>
        <w:rPr>
          <w:rFonts w:ascii="Times New Roman" w:eastAsia="Times New Roman" w:hAnsi="Times New Roman" w:cs="Times New Roman"/>
          <w:b/>
          <w:sz w:val="20"/>
          <w:szCs w:val="20"/>
          <w:lang w:eastAsia="tr-TR"/>
        </w:rPr>
      </w:pPr>
    </w:p>
    <w:p w:rsidR="009122D0" w:rsidRDefault="009122D0" w:rsidP="009122D0">
      <w:pPr>
        <w:pStyle w:val="DipnotMetni"/>
        <w:ind w:left="567" w:hanging="567"/>
        <w:jc w:val="both"/>
        <w:rPr>
          <w:rFonts w:eastAsia="Calibri"/>
        </w:rPr>
      </w:pPr>
      <w:r>
        <w:rPr>
          <w:rFonts w:eastAsia="Calibri"/>
        </w:rPr>
        <w:t>BACHE Ian, FLINDERS, Matthew, (2004), “Themes and Issues in Multi-level Governance,” Multi-level Governance, Oxford University Press, Newyork,</w:t>
      </w:r>
    </w:p>
    <w:p w:rsidR="005B7E1E" w:rsidRDefault="005B7E1E" w:rsidP="005B7E1E">
      <w:pPr>
        <w:autoSpaceDE w:val="0"/>
        <w:autoSpaceDN w:val="0"/>
        <w:adjustRightInd w:val="0"/>
        <w:spacing w:after="0" w:line="240" w:lineRule="auto"/>
        <w:jc w:val="both"/>
        <w:rPr>
          <w:rFonts w:ascii="Times New Roman" w:eastAsia="Times New Roman" w:hAnsi="Times New Roman" w:cs="Times New Roman"/>
          <w:b/>
          <w:sz w:val="20"/>
          <w:szCs w:val="20"/>
          <w:lang w:eastAsia="tr-TR"/>
        </w:rPr>
      </w:pPr>
    </w:p>
    <w:p w:rsidR="00F60806" w:rsidRDefault="005B7E1E" w:rsidP="006A359A">
      <w:pPr>
        <w:pStyle w:val="DipnotMetni"/>
        <w:ind w:left="567" w:hanging="567"/>
        <w:jc w:val="both"/>
      </w:pPr>
      <w:r>
        <w:t xml:space="preserve">YOU ARE ERIKS. You are Erik. (2009), Unfinished Democratization of Europe, Oxford University Press, New York,</w:t>
      </w:r>
    </w:p>
    <w:p w:rsidR="009122D0" w:rsidRDefault="009122D0" w:rsidP="006A359A">
      <w:pPr>
        <w:pStyle w:val="DipnotMetni"/>
        <w:ind w:left="567" w:hanging="567"/>
        <w:jc w:val="both"/>
      </w:pPr>
    </w:p>
    <w:p w:rsidR="009122D0" w:rsidRPr="00741D41" w:rsidRDefault="009122D0" w:rsidP="009122D0">
      <w:pPr>
        <w:pStyle w:val="DipnotMetni"/>
        <w:ind w:left="567" w:hanging="567"/>
        <w:jc w:val="both"/>
      </w:pPr>
      <w:r>
        <w:rPr>
          <w:rFonts w:eastAsia="Calibri"/>
        </w:rPr>
        <w:t xml:space="preserve">GEORGE Stephan, (2004), “Multi Level Governance and the European Union,” Edt(s): Ian Bache ant Matthew Flinders, Multi-level Governace, Oxford University Press, Newyork,  </w:t>
      </w:r>
    </w:p>
    <w:p w:rsidR="009122D0" w:rsidRDefault="009122D0" w:rsidP="006A359A">
      <w:pPr>
        <w:pStyle w:val="DipnotMetni"/>
        <w:ind w:left="567" w:hanging="567"/>
        <w:jc w:val="both"/>
      </w:pPr>
    </w:p>
    <w:p w:rsidR="00192C55" w:rsidRDefault="00192C55" w:rsidP="00192C55">
      <w:pPr>
        <w:pStyle w:val="DipnotMetni"/>
        <w:jc w:val="both"/>
      </w:pPr>
      <w:r>
        <w:t>HOFFMAN Stanley, (1964), “The European Process at Atlantic Cross Purposes,” Journal of Common Market Studies, Vol.IV, No: 3.</w:t>
      </w:r>
    </w:p>
    <w:p w:rsidR="00192C55" w:rsidRDefault="00192C55" w:rsidP="006A359A">
      <w:pPr>
        <w:pStyle w:val="DipnotMetni"/>
        <w:ind w:left="567" w:hanging="567"/>
        <w:jc w:val="both"/>
      </w:pPr>
    </w:p>
    <w:p w:rsidR="006A359A" w:rsidRPr="00741D41" w:rsidRDefault="006A359A" w:rsidP="006A359A">
      <w:pPr>
        <w:pStyle w:val="DipnotMetni"/>
        <w:ind w:left="567" w:hanging="567"/>
        <w:jc w:val="both"/>
      </w:pPr>
      <w:r>
        <w:t xml:space="preserve">HOOGHE Liesbet, (1996), Choice Policy and European Integration, Oxford University Press, Newyork.</w:t>
      </w:r>
    </w:p>
    <w:p w:rsidR="006A359A" w:rsidRDefault="006A359A" w:rsidP="006A359A">
      <w:pPr>
        <w:pStyle w:val="DipnotMetni"/>
        <w:ind w:left="567" w:hanging="567"/>
        <w:jc w:val="both"/>
      </w:pPr>
    </w:p>
    <w:p w:rsidR="006A359A" w:rsidRDefault="006A359A" w:rsidP="006A359A">
      <w:pPr>
        <w:autoSpaceDE w:val="0"/>
        <w:autoSpaceDN w:val="0"/>
        <w:adjustRightInd w:val="0"/>
        <w:spacing w:after="0" w:line="240" w:lineRule="auto"/>
        <w:ind w:left="567" w:hanging="567"/>
        <w:jc w:val="both"/>
        <w:rPr>
          <w:rFonts w:ascii="Times New Roman" w:eastAsia="Calibri" w:hAnsi="Times New Roman" w:cs="Times New Roman"/>
          <w:sz w:val="20"/>
          <w:szCs w:val="20"/>
        </w:rPr>
      </w:pPr>
      <w:r>
        <w:rPr>
          <w:rFonts w:ascii="Times New Roman" w:hAnsi="Times New Roman" w:cs="Times New Roman"/>
          <w:sz w:val="20"/>
          <w:szCs w:val="20"/>
        </w:rPr>
        <w:t>HOOGHE Liesbet and MARKS, Gary. (2003), Unraveling the Central State, But How?: Types of Multi-Level Governance</w:t>
      </w:r>
      <w:r>
        <w:rPr>
          <w:rFonts w:ascii="Times New Roman" w:eastAsia="Calibri" w:hAnsi="Times New Roman" w:cs="Times New Roman"/>
          <w:sz w:val="20"/>
          <w:szCs w:val="20"/>
        </w:rPr>
        <w:t>, Political Science Series, No: 87, Vienna.</w:t>
      </w:r>
    </w:p>
    <w:p w:rsidR="006A359A" w:rsidRDefault="006A359A" w:rsidP="006A359A">
      <w:pPr>
        <w:autoSpaceDE w:val="0"/>
        <w:autoSpaceDN w:val="0"/>
        <w:adjustRightInd w:val="0"/>
        <w:spacing w:after="0" w:line="240" w:lineRule="auto"/>
        <w:ind w:left="567" w:hanging="567"/>
        <w:jc w:val="both"/>
        <w:rPr>
          <w:rFonts w:ascii="Times New Roman" w:hAnsi="Times New Roman" w:cs="Times New Roman"/>
          <w:bCs/>
          <w:sz w:val="20"/>
          <w:szCs w:val="20"/>
        </w:rPr>
      </w:pPr>
    </w:p>
    <w:p w:rsidR="006A359A" w:rsidRDefault="006A359A" w:rsidP="006A359A">
      <w:pPr>
        <w:pStyle w:val="DipnotMetni"/>
        <w:ind w:left="567" w:hanging="567"/>
        <w:jc w:val="both"/>
      </w:pPr>
      <w:r>
        <w:t xml:space="preserve">JEFFERY Charlie, (2000), “Sub-national Mobilization and European Integration: Does it Make Any Difference?”, Journal of Common Market Studies, Vol. 38, No: 1, pp. 1-23</w:t>
      </w:r>
    </w:p>
    <w:p w:rsidR="006A359A" w:rsidRDefault="006A359A" w:rsidP="006A359A">
      <w:pPr>
        <w:pStyle w:val="DipnotMetni"/>
        <w:ind w:left="567" w:hanging="567"/>
        <w:jc w:val="both"/>
      </w:pPr>
    </w:p>
    <w:p w:rsidR="006A359A" w:rsidRDefault="006A359A" w:rsidP="006A359A">
      <w:pPr>
        <w:pStyle w:val="DipnotMetni"/>
        <w:ind w:left="567" w:hanging="567"/>
        <w:jc w:val="both"/>
      </w:pPr>
      <w:r>
        <w:rPr>
          <w:rStyle w:val="DipnotBavurusu"/>
          <w:vertAlign w:val="baseline"/>
        </w:rPr>
        <w:lastRenderedPageBreak/>
        <w:t>JORDAN</w:t>
      </w:r>
      <w:r>
        <w:t xml:space="preserve">Andrew, (2001), “The European Union and Evolving System of Multi-Level Governance or Government,” Policy &amp; Politics, Vol. 29, No:2, pp. 193-208.</w:t>
      </w:r>
    </w:p>
    <w:p w:rsidR="00192C55" w:rsidRDefault="00192C55" w:rsidP="00192C55">
      <w:pPr>
        <w:pStyle w:val="DipnotMetni"/>
        <w:ind w:left="567" w:hanging="567"/>
        <w:jc w:val="both"/>
        <w:rPr>
          <w:rFonts w:eastAsia="Calibri"/>
        </w:rPr>
      </w:pPr>
    </w:p>
    <w:p w:rsidR="00192C55" w:rsidRDefault="00192C55" w:rsidP="00192C55">
      <w:pPr>
        <w:pStyle w:val="DipnotMetni"/>
        <w:ind w:left="567" w:hanging="567"/>
        <w:jc w:val="both"/>
      </w:pPr>
      <w:r>
        <w:rPr>
          <w:rStyle w:val="DipnotBavurusu"/>
          <w:vertAlign w:val="baseline"/>
        </w:rPr>
        <w:t>JORDAN</w:t>
      </w:r>
      <w:r>
        <w:t xml:space="preserve">Andrew, FAIRBRASS Jenny (2004), “Multi Level Governance and the Environmental Policy,” Edt(s): Ian Bache ant Matthew Flinders, Multi-level Governace, Oxford University Press, Newyork,  </w:t>
      </w:r>
    </w:p>
    <w:p w:rsidR="00192C55" w:rsidRPr="00741D41" w:rsidRDefault="00192C55" w:rsidP="00192C55">
      <w:pPr>
        <w:pStyle w:val="DipnotMetni"/>
        <w:ind w:left="567" w:hanging="567"/>
        <w:jc w:val="both"/>
      </w:pPr>
    </w:p>
    <w:p w:rsidR="00192C55" w:rsidRPr="00192C55" w:rsidRDefault="00192C55" w:rsidP="00192C55">
      <w:pPr>
        <w:pStyle w:val="DipnotMetni"/>
        <w:ind w:left="567" w:hanging="567"/>
        <w:jc w:val="both"/>
      </w:pPr>
      <w:r w:rsidRPr="00192C55">
        <w:t>KEATING, M. (1998). The New Regionalism in Western Europe: Territorial Restructuring and Political Change, Cheltenham: Edward Elgar Publishing, Northampton.</w:t>
      </w:r>
    </w:p>
    <w:p w:rsidR="00192C55" w:rsidRDefault="00192C55" w:rsidP="00192C55">
      <w:pPr>
        <w:pStyle w:val="DipnotMetni"/>
        <w:ind w:left="567" w:hanging="567"/>
        <w:jc w:val="both"/>
      </w:pPr>
      <w:r>
        <w:t xml:space="preserve">Kolektif, (2004) The Students Guide to European Integration: for Students by Students, London, Balckwell Publishing,</w:t>
      </w:r>
    </w:p>
    <w:p w:rsidR="00192C55" w:rsidRDefault="00192C55" w:rsidP="009122D0">
      <w:pPr>
        <w:pStyle w:val="DipnotMetni"/>
        <w:ind w:left="567" w:hanging="567"/>
        <w:jc w:val="both"/>
      </w:pPr>
    </w:p>
    <w:p w:rsidR="009122D0" w:rsidRPr="00741D41" w:rsidRDefault="009122D0" w:rsidP="009122D0">
      <w:pPr>
        <w:pStyle w:val="DipnotMetni"/>
        <w:ind w:left="567" w:hanging="567"/>
        <w:jc w:val="both"/>
      </w:pPr>
      <w:r>
        <w:t>MARKS Gary, (1993) “Structural Policy and Multi-Level Governance The State of the European Community: in the EC,” The State of the European Community: The Maastricht Debate and Beyond, (Edt.) A. Cafruny, and GB Rosenthal and L. Rienner, Colorado, pp. 392</w:t>
      </w:r>
    </w:p>
    <w:p w:rsidR="009122D0" w:rsidRDefault="009122D0" w:rsidP="009122D0">
      <w:pPr>
        <w:pStyle w:val="DipnotMetni"/>
        <w:ind w:left="567" w:hanging="567"/>
        <w:jc w:val="both"/>
      </w:pPr>
    </w:p>
    <w:p w:rsidR="009122D0" w:rsidRPr="00587AC9" w:rsidRDefault="009122D0" w:rsidP="009122D0">
      <w:pPr>
        <w:pStyle w:val="DipnotMetni"/>
        <w:ind w:left="567" w:hanging="567"/>
        <w:jc w:val="both"/>
        <w:rPr>
          <w:rFonts w:eastAsia="Calibri"/>
        </w:rPr>
      </w:pPr>
      <w:r>
        <w:t>MARKS Gary, HOOGHE Liesbet, (2001) “Types of Multi level Governance”, European Integration on-line Papers, No:5/11,(Online),</w:t>
      </w:r>
      <w:hyperlink r:id="rId8" w:history="1">
        <w:r w:rsidRPr="00587AC9">
          <w:rPr>
            <w:rFonts w:eastAsia="Calibri"/>
          </w:rPr>
          <w:t>http://eiop.or.at/eiop/texte/2001-011a.htm</w:t>
        </w:r>
      </w:hyperlink>
      <w:r>
        <w:rPr>
          <w:rFonts w:eastAsia="Calibri"/>
        </w:rPr>
        <w:t>, 5.07.2010.</w:t>
      </w:r>
    </w:p>
    <w:p w:rsidR="005B7E1E" w:rsidRDefault="0022025A" w:rsidP="006A359A">
      <w:pPr>
        <w:pStyle w:val="DipnotMetni"/>
        <w:ind w:left="567" w:hanging="567"/>
        <w:jc w:val="both"/>
      </w:pPr>
      <w:r>
        <w:t>MARKS Gary, HOOGHE Liesbet, BLANK, Kermit. (1996), ”European Integration From the 1980's: State Cenric vs. Multi Level Governance,” Journal of Common Market Studies, Vol. 34, No: 3, pp. 346</w:t>
      </w:r>
    </w:p>
    <w:p w:rsidR="005B7E1E" w:rsidRPr="006A359A" w:rsidRDefault="006A359A" w:rsidP="006A359A">
      <w:pPr>
        <w:ind w:left="567" w:hanging="567"/>
        <w:jc w:val="both"/>
        <w:rPr>
          <w:rFonts w:ascii="Times New Roman" w:hAnsi="Times New Roman" w:cs="Times New Roman"/>
        </w:rPr>
      </w:pPr>
      <w:r w:rsidRPr="006A359A">
        <w:rPr>
          <w:rFonts w:ascii="Times New Roman" w:hAnsi="Times New Roman" w:cs="Times New Roman"/>
          <w:sz w:val="20"/>
          <w:szCs w:val="20"/>
        </w:rPr>
        <w:t xml:space="preserve">PIATTONI Simona, (2010), The Theory of Multi-level Governance: Conceptual, Emprical, and Normative Challenges, Oxford University Press, Newyork.</w:t>
      </w:r>
    </w:p>
    <w:p w:rsidR="005B7E1E" w:rsidRPr="006A359A" w:rsidRDefault="005B7E1E" w:rsidP="006A359A">
      <w:pPr>
        <w:pStyle w:val="DipnotMetni"/>
        <w:jc w:val="both"/>
      </w:pPr>
    </w:p>
    <w:p w:rsidR="005B7E1E" w:rsidRPr="006A359A" w:rsidRDefault="005B7E1E" w:rsidP="00F60806">
      <w:pPr>
        <w:pStyle w:val="DipnotMetni"/>
      </w:pPr>
    </w:p>
    <w:p w:rsidR="00F60806" w:rsidRPr="00F60806" w:rsidRDefault="00F60806" w:rsidP="00F60806">
      <w:pPr>
        <w:autoSpaceDE w:val="0"/>
        <w:autoSpaceDN w:val="0"/>
        <w:adjustRightInd w:val="0"/>
        <w:spacing w:after="0" w:line="360" w:lineRule="auto"/>
        <w:jc w:val="both"/>
        <w:rPr>
          <w:rFonts w:ascii="Times New Roman" w:hAnsi="Times New Roman" w:cs="Times New Roman"/>
          <w:sz w:val="20"/>
          <w:szCs w:val="20"/>
        </w:rPr>
      </w:pPr>
    </w:p>
    <w:p w:rsidR="00F60806" w:rsidRPr="00F60806" w:rsidRDefault="00F60806" w:rsidP="00F60806">
      <w:pPr>
        <w:autoSpaceDE w:val="0"/>
        <w:autoSpaceDN w:val="0"/>
        <w:adjustRightInd w:val="0"/>
        <w:spacing w:before="120" w:after="120" w:line="240" w:lineRule="auto"/>
        <w:rPr>
          <w:rFonts w:ascii="Times New Roman" w:eastAsia="Times New Roman" w:hAnsi="Times New Roman" w:cs="Times New Roman"/>
          <w:b/>
          <w:sz w:val="20"/>
          <w:szCs w:val="20"/>
          <w:lang w:eastAsia="tr-TR"/>
        </w:rPr>
      </w:pPr>
    </w:p>
    <w:p w:rsidR="00625C18" w:rsidRDefault="00625C18" w:rsidP="00625C18">
      <w:pPr>
        <w:autoSpaceDE w:val="0"/>
        <w:autoSpaceDN w:val="0"/>
        <w:adjustRightInd w:val="0"/>
        <w:spacing w:before="120" w:after="120" w:line="240" w:lineRule="auto"/>
        <w:rPr>
          <w:rFonts w:ascii="Times New Roman" w:eastAsia="Times New Roman" w:hAnsi="Times New Roman" w:cs="Times New Roman"/>
          <w:b/>
          <w:sz w:val="20"/>
          <w:szCs w:val="20"/>
          <w:lang w:eastAsia="tr-TR"/>
        </w:rPr>
      </w:pPr>
    </w:p>
    <w:p w:rsidR="00625C18" w:rsidRPr="00625C18" w:rsidRDefault="00625C18" w:rsidP="00625C18">
      <w:pPr>
        <w:autoSpaceDE w:val="0"/>
        <w:autoSpaceDN w:val="0"/>
        <w:adjustRightInd w:val="0"/>
        <w:spacing w:before="120" w:after="120" w:line="240" w:lineRule="auto"/>
        <w:rPr>
          <w:rFonts w:ascii="Times New Roman" w:eastAsia="Times New Roman" w:hAnsi="Times New Roman" w:cs="Times New Roman"/>
          <w:b/>
          <w:sz w:val="20"/>
          <w:szCs w:val="20"/>
          <w:lang w:eastAsia="tr-TR"/>
        </w:rPr>
      </w:pPr>
    </w:p>
    <w:p w:rsidR="00625C18" w:rsidRDefault="00625C18" w:rsidP="003F69DA">
      <w:pPr>
        <w:autoSpaceDE w:val="0"/>
        <w:autoSpaceDN w:val="0"/>
        <w:adjustRightInd w:val="0"/>
        <w:spacing w:before="120" w:after="120" w:line="240" w:lineRule="auto"/>
        <w:jc w:val="both"/>
        <w:rPr>
          <w:rFonts w:ascii="Times New Roman" w:eastAsia="Times New Roman" w:hAnsi="Times New Roman" w:cs="Times New Roman"/>
          <w:lang w:eastAsia="tr-TR"/>
        </w:rPr>
      </w:pPr>
    </w:p>
    <w:p w:rsidR="00625C18" w:rsidRDefault="00625C18" w:rsidP="003F69DA">
      <w:pPr>
        <w:autoSpaceDE w:val="0"/>
        <w:autoSpaceDN w:val="0"/>
        <w:adjustRightInd w:val="0"/>
        <w:spacing w:before="120" w:after="120" w:line="240" w:lineRule="auto"/>
        <w:jc w:val="both"/>
        <w:rPr>
          <w:rFonts w:ascii="Times New Roman" w:eastAsia="Times New Roman" w:hAnsi="Times New Roman" w:cs="Times New Roman"/>
          <w:lang w:eastAsia="tr-TR"/>
        </w:rPr>
      </w:pPr>
    </w:p>
    <w:sectPr w:rsidR="00625C18" w:rsidSect="00986AD1">
      <w:footerReference w:type="default" r:id="rId9"/>
      <w:pgSz w:w="11906" w:h="16838"/>
      <w:pgMar w:top="3119" w:right="2438" w:bottom="3119" w:left="243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0290D" w:rsidRDefault="00C0290D" w:rsidP="00A44432">
      <w:pPr>
        <w:spacing w:after="0" w:line="240" w:lineRule="auto"/>
      </w:pPr>
      <w:r>
        <w:separator/>
      </w:r>
    </w:p>
  </w:endnote>
  <w:endnote w:type="continuationSeparator" w:id="0">
    <w:p w:rsidR="00C0290D" w:rsidRDefault="00C0290D" w:rsidP="00A4443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10002FF" w:usb1="4000ACFF" w:usb2="00000009"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553433"/>
      <w:docPartObj>
        <w:docPartGallery w:val="Page Numbers (Bottom of Page)"/>
        <w:docPartUnique/>
      </w:docPartObj>
    </w:sdtPr>
    <w:sdtContent>
      <w:p w:rsidR="00587AC9" w:rsidRDefault="004B76F1">
        <w:pPr>
          <w:pStyle w:val="Altbilgi"/>
          <w:jc w:val="right"/>
        </w:pPr>
        <w:fldSimple w:instr=" PAGE   \* MERGEFORMAT ">
          <w:r w:rsidR="00313E4C">
            <w:rPr>
              <w:noProof/>
            </w:rPr>
            <w:t>2</w:t>
          </w:r>
        </w:fldSimple>
      </w:p>
    </w:sdtContent>
  </w:sdt>
  <w:p w:rsidR="00587AC9" w:rsidRDefault="00587AC9">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0290D" w:rsidRDefault="00C0290D" w:rsidP="00A44432">
      <w:pPr>
        <w:spacing w:after="0" w:line="240" w:lineRule="auto"/>
      </w:pPr>
      <w:r>
        <w:separator/>
      </w:r>
    </w:p>
  </w:footnote>
  <w:footnote w:type="continuationSeparator" w:id="0">
    <w:p w:rsidR="00C0290D" w:rsidRDefault="00C0290D" w:rsidP="00A44432">
      <w:pPr>
        <w:spacing w:after="0" w:line="240" w:lineRule="auto"/>
      </w:pPr>
      <w:r>
        <w:continuationSeparator/>
      </w:r>
    </w:p>
  </w:footnote>
  <w:footnote w:id="1">
    <w:p w:rsidR="00587AC9" w:rsidRPr="00D31394" w:rsidRDefault="00587AC9">
      <w:pPr>
        <w:pStyle w:val="DipnotMetni"/>
        <w:rPr>
          <w:sz w:val="18"/>
          <w:szCs w:val="18"/>
        </w:rPr>
      </w:pPr>
      <w:r w:rsidRPr="00D31394">
        <w:rPr>
          <w:rStyle w:val="DipnotBavurusu"/>
          <w:sz w:val="18"/>
          <w:szCs w:val="18"/>
        </w:rPr>
        <w:sym w:font="Symbol" w:char="F02A"/>
      </w:r>
      <w:r w:rsidRPr="00D31394">
        <w:rPr>
          <w:sz w:val="18"/>
          <w:szCs w:val="18"/>
        </w:rPr>
        <w:t xml:space="preserve">Res. Asst., Istanbul University, Faculty of Political Sciences, Department of Public Administration, Department of Management Sciences, dilekdede@istanbul.edu.tr</w:t>
      </w:r>
    </w:p>
  </w:footnote>
  <w:footnote w:id="2">
    <w:p w:rsidR="00587AC9" w:rsidRPr="00D31394" w:rsidRDefault="00587AC9" w:rsidP="00B8666F">
      <w:pPr>
        <w:pStyle w:val="DipnotMetni"/>
        <w:rPr>
          <w:sz w:val="18"/>
          <w:szCs w:val="18"/>
        </w:rPr>
      </w:pPr>
      <w:r w:rsidRPr="00D31394">
        <w:rPr>
          <w:rStyle w:val="DipnotBavurusu"/>
          <w:sz w:val="18"/>
          <w:szCs w:val="18"/>
        </w:rPr>
        <w:sym w:font="Symbol" w:char="F02A"/>
      </w:r>
      <w:r w:rsidRPr="00D31394">
        <w:rPr>
          <w:sz w:val="18"/>
          <w:szCs w:val="18"/>
        </w:rPr>
        <w:t xml:space="preserve">Research Assistant, Istanbul University, The Faculty of Political Science, Department of Public Administration, Administrative Sciences, dilikdede@istanbul.edu.tr</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A16D1B"/>
    <w:multiLevelType w:val="hybridMultilevel"/>
    <w:tmpl w:val="0FB63B1E"/>
    <w:lvl w:ilvl="0" w:tplc="099CF8BC">
      <w:start w:val="1"/>
      <w:numFmt w:val="upp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33102263"/>
    <w:multiLevelType w:val="hybridMultilevel"/>
    <w:tmpl w:val="A02E7782"/>
    <w:lvl w:ilvl="0" w:tplc="224E673A">
      <w:start w:val="1"/>
      <w:numFmt w:val="decimal"/>
      <w:lvlText w:val="%1)"/>
      <w:lvlJc w:val="left"/>
      <w:pPr>
        <w:ind w:left="720" w:hanging="360"/>
      </w:pPr>
      <w:rPr>
        <w:rFonts w:eastAsia="Times New Roman"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47F2560A"/>
    <w:multiLevelType w:val="hybridMultilevel"/>
    <w:tmpl w:val="4DC27D20"/>
    <w:lvl w:ilvl="0" w:tplc="5F4C650E">
      <w:start w:val="1"/>
      <w:numFmt w:val="upp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50F62DF3"/>
    <w:multiLevelType w:val="hybridMultilevel"/>
    <w:tmpl w:val="FEC0AB34"/>
    <w:lvl w:ilvl="0" w:tplc="745C8920">
      <w:start w:val="1"/>
      <w:numFmt w:val="decimal"/>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4">
    <w:nsid w:val="68EC0642"/>
    <w:multiLevelType w:val="hybridMultilevel"/>
    <w:tmpl w:val="9FF88F3E"/>
    <w:lvl w:ilvl="0" w:tplc="041F0011">
      <w:start w:val="1"/>
      <w:numFmt w:val="decimal"/>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4"/>
  </w:num>
  <w:num w:numId="2">
    <w:abstractNumId w:val="2"/>
  </w:num>
  <w:num w:numId="3">
    <w:abstractNumId w:val="0"/>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425"/>
  <w:characterSpacingControl w:val="doNotCompress"/>
  <w:footnotePr>
    <w:footnote w:id="-1"/>
    <w:footnote w:id="0"/>
  </w:footnotePr>
  <w:endnotePr>
    <w:endnote w:id="-1"/>
    <w:endnote w:id="0"/>
  </w:endnotePr>
  <w:compat/>
  <w:rsids>
    <w:rsidRoot w:val="006F367E"/>
    <w:rsid w:val="0003674E"/>
    <w:rsid w:val="0006798D"/>
    <w:rsid w:val="000C3984"/>
    <w:rsid w:val="0011463F"/>
    <w:rsid w:val="00167EB9"/>
    <w:rsid w:val="001707C8"/>
    <w:rsid w:val="001860BB"/>
    <w:rsid w:val="00192C55"/>
    <w:rsid w:val="00196DF9"/>
    <w:rsid w:val="001B4B62"/>
    <w:rsid w:val="001E45E1"/>
    <w:rsid w:val="00204A68"/>
    <w:rsid w:val="0022025A"/>
    <w:rsid w:val="002232C5"/>
    <w:rsid w:val="002303E2"/>
    <w:rsid w:val="00265454"/>
    <w:rsid w:val="00277157"/>
    <w:rsid w:val="002863DE"/>
    <w:rsid w:val="0029140A"/>
    <w:rsid w:val="002B40E9"/>
    <w:rsid w:val="0030237E"/>
    <w:rsid w:val="00313E4C"/>
    <w:rsid w:val="00317FAC"/>
    <w:rsid w:val="00352898"/>
    <w:rsid w:val="003566C1"/>
    <w:rsid w:val="003A0F68"/>
    <w:rsid w:val="003F69DA"/>
    <w:rsid w:val="0042584D"/>
    <w:rsid w:val="004B76F1"/>
    <w:rsid w:val="004F4A08"/>
    <w:rsid w:val="005114B6"/>
    <w:rsid w:val="0053154E"/>
    <w:rsid w:val="0055366B"/>
    <w:rsid w:val="00587AC9"/>
    <w:rsid w:val="005B7E1E"/>
    <w:rsid w:val="005C208B"/>
    <w:rsid w:val="005F7E8C"/>
    <w:rsid w:val="006168E5"/>
    <w:rsid w:val="00625C18"/>
    <w:rsid w:val="00645A1D"/>
    <w:rsid w:val="0069007B"/>
    <w:rsid w:val="00693DA3"/>
    <w:rsid w:val="006A359A"/>
    <w:rsid w:val="006B34FC"/>
    <w:rsid w:val="006D301D"/>
    <w:rsid w:val="006E576E"/>
    <w:rsid w:val="006F367E"/>
    <w:rsid w:val="00722D80"/>
    <w:rsid w:val="00723F52"/>
    <w:rsid w:val="00767A7D"/>
    <w:rsid w:val="00792D60"/>
    <w:rsid w:val="007E68B7"/>
    <w:rsid w:val="008229A7"/>
    <w:rsid w:val="008C6436"/>
    <w:rsid w:val="008F3B6B"/>
    <w:rsid w:val="009122D0"/>
    <w:rsid w:val="00924B1D"/>
    <w:rsid w:val="00986AD1"/>
    <w:rsid w:val="009A0703"/>
    <w:rsid w:val="009A449C"/>
    <w:rsid w:val="009B504F"/>
    <w:rsid w:val="009F2AAD"/>
    <w:rsid w:val="009F2E2A"/>
    <w:rsid w:val="00A44432"/>
    <w:rsid w:val="00A63861"/>
    <w:rsid w:val="00A86B77"/>
    <w:rsid w:val="00AB1D68"/>
    <w:rsid w:val="00AC2175"/>
    <w:rsid w:val="00AD123D"/>
    <w:rsid w:val="00AD6232"/>
    <w:rsid w:val="00AE56FC"/>
    <w:rsid w:val="00AF10E6"/>
    <w:rsid w:val="00B14EF9"/>
    <w:rsid w:val="00B3300B"/>
    <w:rsid w:val="00B8666F"/>
    <w:rsid w:val="00B90ED8"/>
    <w:rsid w:val="00BB3B17"/>
    <w:rsid w:val="00BC2904"/>
    <w:rsid w:val="00BC61B5"/>
    <w:rsid w:val="00C0290D"/>
    <w:rsid w:val="00C31F49"/>
    <w:rsid w:val="00CD340E"/>
    <w:rsid w:val="00D31394"/>
    <w:rsid w:val="00D45999"/>
    <w:rsid w:val="00D82DC0"/>
    <w:rsid w:val="00D84375"/>
    <w:rsid w:val="00D8727D"/>
    <w:rsid w:val="00D95F56"/>
    <w:rsid w:val="00DC2746"/>
    <w:rsid w:val="00DC45CB"/>
    <w:rsid w:val="00DC4BA8"/>
    <w:rsid w:val="00DF3636"/>
    <w:rsid w:val="00E15CCA"/>
    <w:rsid w:val="00E649B8"/>
    <w:rsid w:val="00EB668A"/>
    <w:rsid w:val="00EC67C3"/>
    <w:rsid w:val="00EC6F0A"/>
    <w:rsid w:val="00F17679"/>
    <w:rsid w:val="00F23F81"/>
    <w:rsid w:val="00F53B5D"/>
    <w:rsid w:val="00F60806"/>
    <w:rsid w:val="00F6458C"/>
    <w:rsid w:val="00F94590"/>
    <w:rsid w:val="00FA5CAB"/>
    <w:rsid w:val="00FA7E3D"/>
    <w:rsid w:val="00FD4F37"/>
    <w:rsid w:val="00FE7506"/>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7157"/>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DipnotMetni">
    <w:name w:val="footnote text"/>
    <w:aliases w:val="Dipnot Metni Char1 Char,Dipnot Metni Char Char Char,Dipnot Metni Char2,Dipnot Metni Char1 Char1,Dipnot Metni Char Char Char1,Dipnot Metni Char1 Char Char Char,Dipnot Metni Char Char Char Char Char"/>
    <w:basedOn w:val="Normal"/>
    <w:link w:val="DipnotMetniChar1"/>
    <w:semiHidden/>
    <w:rsid w:val="00A44432"/>
    <w:pPr>
      <w:spacing w:after="0" w:line="240" w:lineRule="auto"/>
    </w:pPr>
    <w:rPr>
      <w:rFonts w:ascii="Times New Roman" w:eastAsia="Times New Roman" w:hAnsi="Times New Roman" w:cs="Times New Roman"/>
      <w:sz w:val="20"/>
      <w:szCs w:val="20"/>
      <w:lang w:eastAsia="tr-TR"/>
    </w:rPr>
  </w:style>
  <w:style w:type="character" w:customStyle="1" w:styleId="DipnotMetniChar">
    <w:name w:val="Dipnot Metni Char"/>
    <w:basedOn w:val="VarsaylanParagrafYazTipi"/>
    <w:link w:val="DipnotMetni"/>
    <w:rsid w:val="00A44432"/>
    <w:rPr>
      <w:sz w:val="20"/>
      <w:szCs w:val="20"/>
    </w:rPr>
  </w:style>
  <w:style w:type="character" w:styleId="DipnotBavurusu">
    <w:name w:val="footnote reference"/>
    <w:basedOn w:val="VarsaylanParagrafYazTipi"/>
    <w:semiHidden/>
    <w:rsid w:val="00A44432"/>
    <w:rPr>
      <w:vertAlign w:val="superscript"/>
    </w:rPr>
  </w:style>
  <w:style w:type="character" w:customStyle="1" w:styleId="DipnotMetniChar1">
    <w:name w:val="Dipnot Metni Char1"/>
    <w:aliases w:val="Dipnot Metni Char1 Char Char,Dipnot Metni Char Char Char Char,Dipnot Metni Char2 Char,Dipnot Metni Char1 Char1 Char,Dipnot Metni Char Char Char1 Char,Dipnot Metni Char1 Char Char Char Char,Dipnot Metni Char Char Char Char Char Char"/>
    <w:basedOn w:val="VarsaylanParagrafYazTipi"/>
    <w:link w:val="DipnotMetni"/>
    <w:rsid w:val="00A44432"/>
    <w:rPr>
      <w:rFonts w:ascii="Times New Roman" w:eastAsia="Times New Roman" w:hAnsi="Times New Roman" w:cs="Times New Roman"/>
      <w:sz w:val="20"/>
      <w:szCs w:val="20"/>
      <w:lang w:eastAsia="tr-TR"/>
    </w:rPr>
  </w:style>
  <w:style w:type="paragraph" w:styleId="ListeParagraf">
    <w:name w:val="List Paragraph"/>
    <w:basedOn w:val="Normal"/>
    <w:uiPriority w:val="34"/>
    <w:qFormat/>
    <w:rsid w:val="00AE56FC"/>
    <w:pPr>
      <w:ind w:left="720"/>
      <w:contextualSpacing/>
    </w:pPr>
  </w:style>
  <w:style w:type="character" w:styleId="KitapBal">
    <w:name w:val="Book Title"/>
    <w:basedOn w:val="VarsaylanParagrafYazTipi"/>
    <w:uiPriority w:val="33"/>
    <w:qFormat/>
    <w:rsid w:val="005114B6"/>
    <w:rPr>
      <w:b/>
      <w:bCs/>
      <w:smallCaps/>
      <w:spacing w:val="5"/>
    </w:rPr>
  </w:style>
  <w:style w:type="paragraph" w:styleId="NormalWeb">
    <w:name w:val="Normal (Web)"/>
    <w:basedOn w:val="Normal"/>
    <w:rsid w:val="003F69DA"/>
    <w:pPr>
      <w:spacing w:before="100" w:beforeAutospacing="1" w:after="100" w:afterAutospacing="1" w:line="240" w:lineRule="auto"/>
    </w:pPr>
    <w:rPr>
      <w:rFonts w:ascii="Arial Unicode MS" w:eastAsia="Arial Unicode MS" w:hAnsi="Arial Unicode MS" w:cs="Arial Unicode MS"/>
      <w:sz w:val="24"/>
      <w:szCs w:val="24"/>
    </w:rPr>
  </w:style>
  <w:style w:type="character" w:styleId="Kpr">
    <w:name w:val="Hyperlink"/>
    <w:basedOn w:val="VarsaylanParagrafYazTipi"/>
    <w:rsid w:val="00B14EF9"/>
    <w:rPr>
      <w:color w:val="0000FF"/>
      <w:u w:val="single"/>
    </w:rPr>
  </w:style>
  <w:style w:type="paragraph" w:styleId="stbilgi">
    <w:name w:val="header"/>
    <w:basedOn w:val="Normal"/>
    <w:link w:val="stbilgiChar"/>
    <w:uiPriority w:val="99"/>
    <w:semiHidden/>
    <w:unhideWhenUsed/>
    <w:rsid w:val="00625C18"/>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625C18"/>
  </w:style>
  <w:style w:type="paragraph" w:styleId="Altbilgi">
    <w:name w:val="footer"/>
    <w:basedOn w:val="Normal"/>
    <w:link w:val="AltbilgiChar"/>
    <w:uiPriority w:val="99"/>
    <w:unhideWhenUsed/>
    <w:rsid w:val="00625C1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25C18"/>
  </w:style>
  <w:style w:type="paragraph" w:styleId="SonnotMetni">
    <w:name w:val="endnote text"/>
    <w:basedOn w:val="Normal"/>
    <w:link w:val="SonnotMetniChar"/>
    <w:uiPriority w:val="99"/>
    <w:semiHidden/>
    <w:unhideWhenUsed/>
    <w:rsid w:val="00625C18"/>
    <w:pPr>
      <w:spacing w:after="0" w:line="240" w:lineRule="auto"/>
    </w:pPr>
    <w:rPr>
      <w:sz w:val="20"/>
      <w:szCs w:val="20"/>
    </w:rPr>
  </w:style>
  <w:style w:type="character" w:customStyle="1" w:styleId="SonnotMetniChar">
    <w:name w:val="Sonnot Metni Char"/>
    <w:basedOn w:val="VarsaylanParagrafYazTipi"/>
    <w:link w:val="SonnotMetni"/>
    <w:uiPriority w:val="99"/>
    <w:semiHidden/>
    <w:rsid w:val="00625C18"/>
    <w:rPr>
      <w:sz w:val="20"/>
      <w:szCs w:val="20"/>
    </w:rPr>
  </w:style>
  <w:style w:type="character" w:styleId="SonnotBavurusu">
    <w:name w:val="endnote reference"/>
    <w:basedOn w:val="VarsaylanParagrafYazTipi"/>
    <w:uiPriority w:val="99"/>
    <w:semiHidden/>
    <w:unhideWhenUsed/>
    <w:rsid w:val="00625C18"/>
    <w:rPr>
      <w:vertAlign w:val="superscript"/>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eiop.or.at/eiop/texte/2001-011a.ht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_odt_hyperlink" Type="http://schemas.openxmlformats.org/officeDocument/2006/relationships/hyperlink" Target="https://www.onlinedoctranslator.com/en/?utm_source=onlinedoctranslator&amp;utm_medium=docx&amp;utm_campaign=attribution" TargetMode="External"/><Relationship Id="r_odt_logo" Type="http://schemas.openxmlformats.org/officeDocument/2006/relationships/image" Target="media/odt_attribution_logo.pn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ACF29D-85AC-4433-9C77-B52026B5C2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5049</Words>
  <Characters>28781</Characters>
  <Application>Microsoft Office Word</Application>
  <DocSecurity>0</DocSecurity>
  <Lines>239</Lines>
  <Paragraphs>67</Paragraphs>
  <ScaleCrop>false</ScaleCrop>
  <HeadingPairs>
    <vt:vector size="2" baseType="variant">
      <vt:variant>
        <vt:lpstr>Konu Başlığı</vt:lpstr>
      </vt:variant>
      <vt:variant>
        <vt:i4>1</vt:i4>
      </vt:variant>
    </vt:vector>
  </HeadingPairs>
  <TitlesOfParts>
    <vt:vector size="1" baseType="lpstr">
      <vt:lpstr/>
    </vt:vector>
  </TitlesOfParts>
  <Company>DEDOLİ</Company>
  <LinksUpToDate>false</LinksUpToDate>
  <CharactersWithSpaces>33763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Dilek</dc:creator>
  <cp:lastModifiedBy>Dilek</cp:lastModifiedBy>
  <cp:revision>2</cp:revision>
  <dcterms:created xsi:type="dcterms:W3CDTF">2012-08-13T07:32:00Z</dcterms:created>
  <dcterms:modified xsi:type="dcterms:W3CDTF">2012-08-13T07:32:00Z</dcterms:modified>
</cp:coreProperties>
</file>