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67E" w:rsidRPr="009F2AAD" w:rsidRDefault="006F367E" w:rsidP="00BC61B5">
      <w:pPr>
        <w:spacing w:before="120" w:after="120" w:line="240" w:lineRule="auto"/>
        <w:jc w:val="center"/>
        <w:rPr>
          <w:rFonts w:ascii="Times New Roman" w:hAnsi="Times New Roman" w:cs="Times New Roman"/>
          <w:b/>
          <w:sz w:val="24"/>
          <w:szCs w:val="24"/>
        </w:rPr>
      </w:pPr>
      <w:r w:rsidRPr="009F2AAD">
        <w:rPr>
          <w:rFonts w:ascii="Times New Roman" w:hAnsi="Times New Roman" w:cs="Times New Roman"/>
          <w:b/>
          <w:sz w:val="24"/>
          <w:szCs w:val="24"/>
        </w:rPr>
        <w:t xml:space="preserve">ÇOK DÜZEYLİ YÖNETİŞİM </w:t>
      </w:r>
      <w:r w:rsidR="009F2AAD" w:rsidRPr="009F2AAD">
        <w:rPr>
          <w:rFonts w:ascii="Times New Roman" w:hAnsi="Times New Roman" w:cs="Times New Roman"/>
          <w:b/>
          <w:sz w:val="24"/>
          <w:szCs w:val="24"/>
        </w:rPr>
        <w:t>KAVRAMI’</w:t>
      </w:r>
      <w:r w:rsidR="00D45999" w:rsidRPr="009F2AAD">
        <w:rPr>
          <w:rFonts w:ascii="Times New Roman" w:hAnsi="Times New Roman" w:cs="Times New Roman"/>
          <w:b/>
          <w:sz w:val="24"/>
          <w:szCs w:val="24"/>
        </w:rPr>
        <w:t>(NIN)</w:t>
      </w:r>
      <w:r w:rsidRPr="009F2AAD">
        <w:rPr>
          <w:rFonts w:ascii="Times New Roman" w:hAnsi="Times New Roman" w:cs="Times New Roman"/>
          <w:b/>
          <w:sz w:val="24"/>
          <w:szCs w:val="24"/>
        </w:rPr>
        <w:t xml:space="preserve"> BİLİMSELLİĞİ SORUNU</w:t>
      </w:r>
    </w:p>
    <w:p w:rsidR="009F2AAD" w:rsidRPr="00D31394" w:rsidRDefault="009F2AAD" w:rsidP="009F2AAD">
      <w:pPr>
        <w:spacing w:before="120" w:after="120" w:line="240" w:lineRule="auto"/>
        <w:jc w:val="right"/>
        <w:rPr>
          <w:rFonts w:ascii="Times New Roman" w:hAnsi="Times New Roman" w:cs="Times New Roman"/>
          <w:sz w:val="20"/>
          <w:szCs w:val="20"/>
        </w:rPr>
      </w:pPr>
      <w:r w:rsidRPr="00D31394">
        <w:rPr>
          <w:rFonts w:ascii="Times New Roman" w:hAnsi="Times New Roman" w:cs="Times New Roman"/>
          <w:sz w:val="20"/>
          <w:szCs w:val="20"/>
        </w:rPr>
        <w:t>Dilek DEDE</w:t>
      </w:r>
      <w:r w:rsidRPr="00D31394">
        <w:rPr>
          <w:rStyle w:val="DipnotBavurusu"/>
          <w:rFonts w:ascii="Times New Roman" w:hAnsi="Times New Roman" w:cs="Times New Roman"/>
          <w:sz w:val="20"/>
          <w:szCs w:val="20"/>
        </w:rPr>
        <w:footnoteReference w:customMarkFollows="1" w:id="1"/>
        <w:sym w:font="Symbol" w:char="F02A"/>
      </w:r>
    </w:p>
    <w:p w:rsidR="009F2AAD" w:rsidRDefault="009F2AAD" w:rsidP="00352898">
      <w:pPr>
        <w:spacing w:before="120" w:after="120" w:line="480" w:lineRule="auto"/>
        <w:jc w:val="center"/>
        <w:rPr>
          <w:rFonts w:ascii="Times New Roman" w:hAnsi="Times New Roman" w:cs="Times New Roman"/>
        </w:rPr>
      </w:pPr>
    </w:p>
    <w:p w:rsidR="006F367E" w:rsidRPr="00986AD1" w:rsidRDefault="006F367E" w:rsidP="00986AD1">
      <w:pPr>
        <w:spacing w:before="120" w:after="120" w:line="240" w:lineRule="auto"/>
        <w:rPr>
          <w:rFonts w:ascii="Times New Roman" w:hAnsi="Times New Roman" w:cs="Times New Roman"/>
          <w:b/>
          <w:sz w:val="20"/>
          <w:szCs w:val="20"/>
        </w:rPr>
      </w:pPr>
      <w:r w:rsidRPr="00986AD1">
        <w:rPr>
          <w:rFonts w:ascii="Times New Roman" w:hAnsi="Times New Roman" w:cs="Times New Roman"/>
          <w:b/>
          <w:sz w:val="20"/>
          <w:szCs w:val="20"/>
        </w:rPr>
        <w:t>ÖZ</w:t>
      </w:r>
    </w:p>
    <w:p w:rsidR="0053154E" w:rsidRPr="00986AD1" w:rsidRDefault="0053154E" w:rsidP="00986AD1">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Bu çalışmada çok düzeyli yönetişim nedir sorusundan yola çıkarak, çok düzeyli yönetişim kavramın</w:t>
      </w:r>
      <w:r w:rsidR="0029140A" w:rsidRPr="00986AD1">
        <w:rPr>
          <w:rFonts w:ascii="Times New Roman" w:eastAsia="Times New Roman" w:hAnsi="Times New Roman" w:cs="Times New Roman"/>
          <w:sz w:val="20"/>
          <w:szCs w:val="20"/>
          <w:lang w:eastAsia="tr-TR"/>
        </w:rPr>
        <w:t>ın</w:t>
      </w:r>
      <w:r w:rsidRPr="00986AD1">
        <w:rPr>
          <w:rFonts w:ascii="Times New Roman" w:eastAsia="Times New Roman" w:hAnsi="Times New Roman" w:cs="Times New Roman"/>
          <w:sz w:val="20"/>
          <w:szCs w:val="20"/>
          <w:lang w:eastAsia="tr-TR"/>
        </w:rPr>
        <w:t xml:space="preserve"> alan yazınında ele alınan eleştirilerine yer verilecektir.  </w:t>
      </w:r>
    </w:p>
    <w:p w:rsidR="002232C5" w:rsidRPr="00986AD1" w:rsidRDefault="006F367E"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Çok</w:t>
      </w:r>
      <w:r w:rsidR="006E576E" w:rsidRPr="00986AD1">
        <w:rPr>
          <w:rFonts w:ascii="Times New Roman" w:eastAsia="Times New Roman" w:hAnsi="Times New Roman" w:cs="Times New Roman"/>
          <w:sz w:val="20"/>
          <w:szCs w:val="20"/>
          <w:lang w:eastAsia="tr-TR"/>
        </w:rPr>
        <w:t xml:space="preserve"> </w:t>
      </w:r>
      <w:r w:rsidR="0053154E" w:rsidRPr="00986AD1">
        <w:rPr>
          <w:rFonts w:ascii="Times New Roman" w:eastAsia="Times New Roman" w:hAnsi="Times New Roman" w:cs="Times New Roman"/>
          <w:sz w:val="20"/>
          <w:szCs w:val="20"/>
          <w:lang w:eastAsia="tr-TR"/>
        </w:rPr>
        <w:t>d</w:t>
      </w:r>
      <w:r w:rsidR="006E576E" w:rsidRPr="00986AD1">
        <w:rPr>
          <w:rFonts w:ascii="Times New Roman" w:eastAsia="Times New Roman" w:hAnsi="Times New Roman" w:cs="Times New Roman"/>
          <w:sz w:val="20"/>
          <w:szCs w:val="20"/>
          <w:lang w:eastAsia="tr-TR"/>
        </w:rPr>
        <w:t>üzeyli yönetişim, iç politika dış politika ayrımının bulanıklaştığı, “krizler çağında” 1990’ların başında güncelleşen yönetişimi yeniden değerlendirme biçimi olarak okunmaktadır.</w:t>
      </w:r>
      <w:r w:rsidR="00167EB9" w:rsidRPr="00986AD1">
        <w:rPr>
          <w:rFonts w:ascii="Times New Roman" w:eastAsia="Times New Roman" w:hAnsi="Times New Roman" w:cs="Times New Roman"/>
          <w:sz w:val="20"/>
          <w:szCs w:val="20"/>
          <w:lang w:eastAsia="tr-TR"/>
        </w:rPr>
        <w:t xml:space="preserve"> Kavramı</w:t>
      </w:r>
      <w:r w:rsidR="00D45999" w:rsidRPr="00986AD1">
        <w:rPr>
          <w:rFonts w:ascii="Times New Roman" w:eastAsia="Times New Roman" w:hAnsi="Times New Roman" w:cs="Times New Roman"/>
          <w:sz w:val="20"/>
          <w:szCs w:val="20"/>
          <w:lang w:eastAsia="tr-TR"/>
        </w:rPr>
        <w:t xml:space="preserve"> ilk olarak</w:t>
      </w:r>
      <w:r w:rsidR="002232C5" w:rsidRPr="00986AD1">
        <w:rPr>
          <w:rFonts w:ascii="Times New Roman" w:eastAsia="Times New Roman" w:hAnsi="Times New Roman" w:cs="Times New Roman"/>
          <w:sz w:val="20"/>
          <w:szCs w:val="20"/>
          <w:lang w:eastAsia="tr-TR"/>
        </w:rPr>
        <w:t xml:space="preserve">; </w:t>
      </w:r>
      <w:r w:rsidR="00D45999" w:rsidRPr="00986AD1">
        <w:rPr>
          <w:rFonts w:ascii="Times New Roman" w:eastAsia="Times New Roman" w:hAnsi="Times New Roman" w:cs="Times New Roman"/>
          <w:sz w:val="20"/>
          <w:szCs w:val="20"/>
          <w:lang w:eastAsia="tr-TR"/>
        </w:rPr>
        <w:t xml:space="preserve"> Gary Marks 1992 Maastrich An</w:t>
      </w:r>
      <w:r w:rsidR="002232C5" w:rsidRPr="00986AD1">
        <w:rPr>
          <w:rFonts w:ascii="Times New Roman" w:eastAsia="Times New Roman" w:hAnsi="Times New Roman" w:cs="Times New Roman"/>
          <w:sz w:val="20"/>
          <w:szCs w:val="20"/>
          <w:lang w:eastAsia="tr-TR"/>
        </w:rPr>
        <w:t xml:space="preserve">laşması sonrası yapısal fonların üye devletlere </w:t>
      </w:r>
      <w:r w:rsidR="00D45999" w:rsidRPr="00986AD1">
        <w:rPr>
          <w:rFonts w:ascii="Times New Roman" w:eastAsia="Times New Roman" w:hAnsi="Times New Roman" w:cs="Times New Roman"/>
          <w:sz w:val="20"/>
          <w:szCs w:val="20"/>
          <w:lang w:eastAsia="tr-TR"/>
        </w:rPr>
        <w:t xml:space="preserve">dağıtımı yöntemini açıklamak için kullanmıştır. </w:t>
      </w:r>
      <w:r w:rsidR="006E576E" w:rsidRPr="00986AD1">
        <w:rPr>
          <w:rFonts w:ascii="Times New Roman" w:eastAsia="Times New Roman" w:hAnsi="Times New Roman" w:cs="Times New Roman"/>
          <w:sz w:val="20"/>
          <w:szCs w:val="20"/>
          <w:lang w:eastAsia="tr-TR"/>
        </w:rPr>
        <w:t xml:space="preserve"> </w:t>
      </w:r>
    </w:p>
    <w:p w:rsidR="00D45999" w:rsidRPr="00986AD1" w:rsidRDefault="006E576E"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 xml:space="preserve">Çok </w:t>
      </w:r>
      <w:r w:rsidR="002232C5" w:rsidRPr="00986AD1">
        <w:rPr>
          <w:rFonts w:ascii="Times New Roman" w:eastAsia="Times New Roman" w:hAnsi="Times New Roman" w:cs="Times New Roman"/>
          <w:sz w:val="20"/>
          <w:szCs w:val="20"/>
          <w:lang w:eastAsia="tr-TR"/>
        </w:rPr>
        <w:t xml:space="preserve">düzeyli yönetişim </w:t>
      </w:r>
      <w:r w:rsidRPr="00986AD1">
        <w:rPr>
          <w:rFonts w:ascii="Times New Roman" w:eastAsia="Times New Roman" w:hAnsi="Times New Roman" w:cs="Times New Roman"/>
          <w:sz w:val="20"/>
          <w:szCs w:val="20"/>
          <w:lang w:eastAsia="tr-TR"/>
        </w:rPr>
        <w:t xml:space="preserve">kamu politikalarında karar alma </w:t>
      </w:r>
      <w:r w:rsidR="002232C5" w:rsidRPr="00986AD1">
        <w:rPr>
          <w:rFonts w:ascii="Times New Roman" w:eastAsia="Times New Roman" w:hAnsi="Times New Roman" w:cs="Times New Roman"/>
          <w:sz w:val="20"/>
          <w:szCs w:val="20"/>
          <w:lang w:eastAsia="tr-TR"/>
        </w:rPr>
        <w:t xml:space="preserve">sürecinde bir </w:t>
      </w:r>
      <w:r w:rsidR="00FE7506" w:rsidRPr="00986AD1">
        <w:rPr>
          <w:rFonts w:ascii="Times New Roman" w:eastAsia="Times New Roman" w:hAnsi="Times New Roman" w:cs="Times New Roman"/>
          <w:sz w:val="20"/>
          <w:szCs w:val="20"/>
          <w:lang w:eastAsia="tr-TR"/>
        </w:rPr>
        <w:t>yönüyle devlet</w:t>
      </w:r>
      <w:r w:rsidRPr="00986AD1">
        <w:rPr>
          <w:rFonts w:ascii="Times New Roman" w:eastAsia="Times New Roman" w:hAnsi="Times New Roman" w:cs="Times New Roman"/>
          <w:sz w:val="20"/>
          <w:szCs w:val="20"/>
          <w:lang w:eastAsia="tr-TR"/>
        </w:rPr>
        <w:t>, özel kesim ve sivil toplum kuruluşlarının oluşturduğu çoğ</w:t>
      </w:r>
      <w:r w:rsidR="002232C5" w:rsidRPr="00986AD1">
        <w:rPr>
          <w:rFonts w:ascii="Times New Roman" w:eastAsia="Times New Roman" w:hAnsi="Times New Roman" w:cs="Times New Roman"/>
          <w:sz w:val="20"/>
          <w:szCs w:val="20"/>
          <w:lang w:eastAsia="tr-TR"/>
        </w:rPr>
        <w:t xml:space="preserve">ulcu bir yapıya; </w:t>
      </w:r>
      <w:r w:rsidRPr="00986AD1">
        <w:rPr>
          <w:rFonts w:ascii="Times New Roman" w:eastAsia="Times New Roman" w:hAnsi="Times New Roman" w:cs="Times New Roman"/>
          <w:sz w:val="20"/>
          <w:szCs w:val="20"/>
          <w:lang w:eastAsia="tr-TR"/>
        </w:rPr>
        <w:t xml:space="preserve"> öte yandan,  ulus-üstü, ulusal, ulus-altı kademeler arasında hiyerarşinin kalkması</w:t>
      </w:r>
      <w:r w:rsidR="002232C5" w:rsidRPr="00986AD1">
        <w:rPr>
          <w:rFonts w:ascii="Times New Roman" w:eastAsia="Times New Roman" w:hAnsi="Times New Roman" w:cs="Times New Roman"/>
          <w:sz w:val="20"/>
          <w:szCs w:val="20"/>
          <w:lang w:eastAsia="tr-TR"/>
        </w:rPr>
        <w:t>na işaret eder</w:t>
      </w:r>
      <w:r w:rsidRPr="00986AD1">
        <w:rPr>
          <w:rFonts w:ascii="Times New Roman" w:eastAsia="Times New Roman" w:hAnsi="Times New Roman" w:cs="Times New Roman"/>
          <w:sz w:val="20"/>
          <w:szCs w:val="20"/>
          <w:lang w:eastAsia="tr-TR"/>
        </w:rPr>
        <w:t>.</w:t>
      </w:r>
      <w:r w:rsidR="002232C5" w:rsidRPr="00986AD1">
        <w:rPr>
          <w:rFonts w:ascii="Times New Roman" w:eastAsia="Times New Roman" w:hAnsi="Times New Roman" w:cs="Times New Roman"/>
          <w:sz w:val="20"/>
          <w:szCs w:val="20"/>
          <w:lang w:eastAsia="tr-TR"/>
        </w:rPr>
        <w:t xml:space="preserve"> </w:t>
      </w:r>
      <w:r w:rsidRPr="00986AD1">
        <w:rPr>
          <w:rFonts w:ascii="Times New Roman" w:eastAsia="Times New Roman" w:hAnsi="Times New Roman" w:cs="Times New Roman"/>
          <w:sz w:val="20"/>
          <w:szCs w:val="20"/>
          <w:lang w:eastAsia="tr-TR"/>
        </w:rPr>
        <w:t xml:space="preserve"> Çok düzeyli yönetişim</w:t>
      </w:r>
      <w:r w:rsidR="002232C5" w:rsidRPr="00986AD1">
        <w:rPr>
          <w:rFonts w:ascii="Times New Roman" w:eastAsia="Times New Roman" w:hAnsi="Times New Roman" w:cs="Times New Roman"/>
          <w:sz w:val="20"/>
          <w:szCs w:val="20"/>
          <w:lang w:eastAsia="tr-TR"/>
        </w:rPr>
        <w:t xml:space="preserve"> tanım olarak; </w:t>
      </w:r>
      <w:r w:rsidRPr="00986AD1">
        <w:rPr>
          <w:rFonts w:ascii="Times New Roman" w:eastAsia="Times New Roman" w:hAnsi="Times New Roman" w:cs="Times New Roman"/>
          <w:sz w:val="20"/>
          <w:szCs w:val="20"/>
          <w:lang w:eastAsia="tr-TR"/>
        </w:rPr>
        <w:t xml:space="preserve"> karar alıcı aktörler arasında yürütülen özel amaçlar için</w:t>
      </w:r>
      <w:r w:rsidR="002232C5" w:rsidRPr="00986AD1">
        <w:rPr>
          <w:rFonts w:ascii="Times New Roman" w:eastAsia="Times New Roman" w:hAnsi="Times New Roman" w:cs="Times New Roman"/>
          <w:sz w:val="20"/>
          <w:szCs w:val="20"/>
          <w:lang w:eastAsia="tr-TR"/>
        </w:rPr>
        <w:t xml:space="preserve"> geçici olarak</w:t>
      </w:r>
      <w:r w:rsidRPr="00986AD1">
        <w:rPr>
          <w:rFonts w:ascii="Times New Roman" w:eastAsia="Times New Roman" w:hAnsi="Times New Roman" w:cs="Times New Roman"/>
          <w:sz w:val="20"/>
          <w:szCs w:val="20"/>
          <w:lang w:eastAsia="tr-TR"/>
        </w:rPr>
        <w:t xml:space="preserve"> oluşturulmuş</w:t>
      </w:r>
      <w:r w:rsidR="002232C5" w:rsidRPr="00986AD1">
        <w:rPr>
          <w:rFonts w:ascii="Times New Roman" w:eastAsia="Times New Roman" w:hAnsi="Times New Roman" w:cs="Times New Roman"/>
          <w:sz w:val="20"/>
          <w:szCs w:val="20"/>
          <w:lang w:eastAsia="tr-TR"/>
        </w:rPr>
        <w:t xml:space="preserve"> ağlarla; </w:t>
      </w:r>
      <w:r w:rsidRPr="00986AD1">
        <w:rPr>
          <w:rFonts w:ascii="Times New Roman" w:eastAsia="Times New Roman" w:hAnsi="Times New Roman" w:cs="Times New Roman"/>
          <w:sz w:val="20"/>
          <w:szCs w:val="20"/>
          <w:lang w:eastAsia="tr-TR"/>
        </w:rPr>
        <w:t xml:space="preserve"> </w:t>
      </w:r>
      <w:r w:rsidR="002232C5" w:rsidRPr="00986AD1">
        <w:rPr>
          <w:rFonts w:ascii="Times New Roman" w:eastAsia="Times New Roman" w:hAnsi="Times New Roman" w:cs="Times New Roman"/>
          <w:sz w:val="20"/>
          <w:szCs w:val="20"/>
          <w:lang w:eastAsia="tr-TR"/>
        </w:rPr>
        <w:t xml:space="preserve">aktörler arasında </w:t>
      </w:r>
      <w:r w:rsidR="00D45999" w:rsidRPr="00986AD1">
        <w:rPr>
          <w:rFonts w:ascii="Times New Roman" w:eastAsia="Times New Roman" w:hAnsi="Times New Roman" w:cs="Times New Roman"/>
          <w:sz w:val="20"/>
          <w:szCs w:val="20"/>
          <w:lang w:eastAsia="tr-TR"/>
        </w:rPr>
        <w:t>sürekli müzakere</w:t>
      </w:r>
      <w:r w:rsidR="002232C5" w:rsidRPr="00986AD1">
        <w:rPr>
          <w:rFonts w:ascii="Times New Roman" w:eastAsia="Times New Roman" w:hAnsi="Times New Roman" w:cs="Times New Roman"/>
          <w:sz w:val="20"/>
          <w:szCs w:val="20"/>
          <w:lang w:eastAsia="tr-TR"/>
        </w:rPr>
        <w:t xml:space="preserve"> sürecidir.</w:t>
      </w:r>
    </w:p>
    <w:p w:rsidR="00FE7506" w:rsidRPr="00986AD1" w:rsidRDefault="00167EB9"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Çok düzeyli yönetişime</w:t>
      </w:r>
      <w:r w:rsidR="002303E2" w:rsidRPr="00986AD1">
        <w:rPr>
          <w:rFonts w:ascii="Times New Roman" w:eastAsia="Times New Roman" w:hAnsi="Times New Roman" w:cs="Times New Roman"/>
          <w:sz w:val="20"/>
          <w:szCs w:val="20"/>
          <w:lang w:eastAsia="tr-TR"/>
        </w:rPr>
        <w:t xml:space="preserve"> yöneltilen eleştiriler teorik düzlem ve ampirik düzlem şeklinde iki açılı bir okumaya tabi tutulmaktadır. Çok düzeyli yönetişim kavramının bilimselliği sorununu ilk gru</w:t>
      </w:r>
      <w:r w:rsidR="00D95F56" w:rsidRPr="00986AD1">
        <w:rPr>
          <w:rFonts w:ascii="Times New Roman" w:eastAsia="Times New Roman" w:hAnsi="Times New Roman" w:cs="Times New Roman"/>
          <w:sz w:val="20"/>
          <w:szCs w:val="20"/>
          <w:lang w:eastAsia="tr-TR"/>
        </w:rPr>
        <w:t>ptaki eleştiriler tartışmaktadır</w:t>
      </w:r>
      <w:r w:rsidR="002303E2" w:rsidRPr="00986AD1">
        <w:rPr>
          <w:rFonts w:ascii="Times New Roman" w:eastAsia="Times New Roman" w:hAnsi="Times New Roman" w:cs="Times New Roman"/>
          <w:sz w:val="20"/>
          <w:szCs w:val="20"/>
          <w:lang w:eastAsia="tr-TR"/>
        </w:rPr>
        <w:t xml:space="preserve">. Bu nedenle çalışma kapsamında ilk grup eleştirilere yer verilecektir. </w:t>
      </w:r>
    </w:p>
    <w:p w:rsidR="00EC6F0A" w:rsidRPr="00986AD1" w:rsidRDefault="00FE7506"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İlk grupta yer alan ilk eleştiri; ç</w:t>
      </w:r>
      <w:r w:rsidR="002303E2" w:rsidRPr="00986AD1">
        <w:rPr>
          <w:rFonts w:ascii="Times New Roman" w:eastAsia="Times New Roman" w:hAnsi="Times New Roman" w:cs="Times New Roman"/>
          <w:sz w:val="20"/>
          <w:szCs w:val="20"/>
          <w:lang w:eastAsia="tr-TR"/>
        </w:rPr>
        <w:t xml:space="preserve">ok düzeyli yönetişim bir teori değildir. Daha önce oluşturulan teorilerin birleştirilmesiyle oluşturulmuş “eklektik” bir sentezdir.  </w:t>
      </w:r>
      <w:r w:rsidR="00167EB9" w:rsidRPr="00986AD1">
        <w:rPr>
          <w:rFonts w:ascii="Times New Roman" w:eastAsia="Times New Roman" w:hAnsi="Times New Roman" w:cs="Times New Roman"/>
          <w:sz w:val="20"/>
          <w:szCs w:val="20"/>
          <w:lang w:eastAsia="tr-TR"/>
        </w:rPr>
        <w:t xml:space="preserve"> </w:t>
      </w:r>
      <w:r w:rsidRPr="00986AD1">
        <w:rPr>
          <w:rFonts w:ascii="Times New Roman" w:eastAsia="Times New Roman" w:hAnsi="Times New Roman" w:cs="Times New Roman"/>
          <w:sz w:val="20"/>
          <w:szCs w:val="20"/>
          <w:lang w:eastAsia="tr-TR"/>
        </w:rPr>
        <w:t xml:space="preserve">Bu eleştiri tezin özgünlüğüne yöneliktir. </w:t>
      </w:r>
    </w:p>
    <w:p w:rsidR="0053154E" w:rsidRPr="00986AD1" w:rsidRDefault="00FE7506" w:rsidP="00352898">
      <w:pPr>
        <w:spacing w:before="120" w:after="120" w:line="240" w:lineRule="auto"/>
        <w:jc w:val="both"/>
        <w:rPr>
          <w:rFonts w:ascii="Times New Roman" w:eastAsia="Times New Roman" w:hAnsi="Times New Roman" w:cs="Times New Roman"/>
          <w:sz w:val="20"/>
          <w:szCs w:val="20"/>
          <w:lang w:eastAsia="tr-TR"/>
        </w:rPr>
      </w:pPr>
      <w:r w:rsidRPr="00986AD1">
        <w:rPr>
          <w:rFonts w:ascii="Times New Roman" w:eastAsia="Times New Roman" w:hAnsi="Times New Roman" w:cs="Times New Roman"/>
          <w:sz w:val="20"/>
          <w:szCs w:val="20"/>
          <w:lang w:eastAsia="tr-TR"/>
        </w:rPr>
        <w:t>İkinci eleştiri ise, çok düzeyli yönetişimin Avrupa Birliğini açıklamaktan öteye gidemeyen bir paradigmaya dayanarak kavramsal örüntü kurgusuna dayanmayan tanımlayıcı bir açıklama biçimi geliştirmesi nedeniyle bilimsel bir teori olarak değerlendirilemeyeceğidir.</w:t>
      </w:r>
    </w:p>
    <w:p w:rsidR="00A44432" w:rsidRPr="00986AD1" w:rsidRDefault="00352898" w:rsidP="00352898">
      <w:pPr>
        <w:spacing w:before="120" w:after="120" w:line="240" w:lineRule="auto"/>
        <w:jc w:val="both"/>
        <w:rPr>
          <w:rFonts w:ascii="Times New Roman" w:eastAsia="Calibri" w:hAnsi="Times New Roman" w:cs="Times New Roman"/>
          <w:sz w:val="20"/>
          <w:szCs w:val="20"/>
        </w:rPr>
      </w:pPr>
      <w:r w:rsidRPr="00986AD1">
        <w:rPr>
          <w:rFonts w:ascii="Times New Roman" w:eastAsia="Times New Roman" w:hAnsi="Times New Roman" w:cs="Times New Roman"/>
          <w:sz w:val="20"/>
          <w:szCs w:val="20"/>
          <w:lang w:eastAsia="tr-TR"/>
        </w:rPr>
        <w:t>Çalışma teorik bir çalışmadır, l</w:t>
      </w:r>
      <w:r w:rsidR="0053154E" w:rsidRPr="00986AD1">
        <w:rPr>
          <w:rFonts w:ascii="Times New Roman" w:eastAsia="Times New Roman" w:hAnsi="Times New Roman" w:cs="Times New Roman"/>
          <w:sz w:val="20"/>
          <w:szCs w:val="20"/>
          <w:lang w:eastAsia="tr-TR"/>
        </w:rPr>
        <w:t>iteratür taraması yöntemiyle değerlendirme çalışması yapılmıştır. Çalış</w:t>
      </w:r>
      <w:r w:rsidR="0053154E" w:rsidRPr="00986AD1">
        <w:rPr>
          <w:rFonts w:ascii="Times New Roman" w:eastAsia="Calibri" w:hAnsi="Times New Roman" w:cs="Times New Roman"/>
          <w:sz w:val="20"/>
          <w:szCs w:val="20"/>
        </w:rPr>
        <w:t>mada ilk olarak çok düzeyli yönetişim kavramının tanımına ve özelliklerine</w:t>
      </w:r>
      <w:r w:rsidRPr="00986AD1">
        <w:rPr>
          <w:rFonts w:ascii="Times New Roman" w:eastAsia="Calibri" w:hAnsi="Times New Roman" w:cs="Times New Roman"/>
          <w:sz w:val="20"/>
          <w:szCs w:val="20"/>
        </w:rPr>
        <w:t xml:space="preserve"> işaret edilecektir</w:t>
      </w:r>
      <w:r w:rsidR="0053154E" w:rsidRPr="00986AD1">
        <w:rPr>
          <w:rFonts w:ascii="Times New Roman" w:eastAsia="Calibri" w:hAnsi="Times New Roman" w:cs="Times New Roman"/>
          <w:sz w:val="20"/>
          <w:szCs w:val="20"/>
        </w:rPr>
        <w:t xml:space="preserve">. İkinci olarak, çok düzeyli yönetişime yöneltilen eleştirilerden bahsedilecek ve değerlendirmede bulunulacaktır.  </w:t>
      </w:r>
    </w:p>
    <w:p w:rsidR="0042584D" w:rsidRDefault="0042584D" w:rsidP="00986AD1">
      <w:pPr>
        <w:spacing w:after="120" w:line="240" w:lineRule="auto"/>
        <w:jc w:val="both"/>
        <w:rPr>
          <w:rFonts w:ascii="Times New Roman" w:eastAsia="Calibri" w:hAnsi="Times New Roman" w:cs="Times New Roman"/>
          <w:sz w:val="20"/>
          <w:szCs w:val="20"/>
        </w:rPr>
      </w:pPr>
    </w:p>
    <w:p w:rsidR="00FE7506" w:rsidRDefault="00986AD1" w:rsidP="00986AD1">
      <w:pPr>
        <w:spacing w:after="120" w:line="240" w:lineRule="auto"/>
        <w:jc w:val="both"/>
        <w:rPr>
          <w:rFonts w:ascii="Times New Roman" w:eastAsia="Calibri" w:hAnsi="Times New Roman" w:cs="Times New Roman"/>
          <w:sz w:val="20"/>
          <w:szCs w:val="20"/>
        </w:rPr>
      </w:pPr>
      <w:r>
        <w:rPr>
          <w:rFonts w:ascii="Times New Roman" w:eastAsia="Calibri" w:hAnsi="Times New Roman" w:cs="Times New Roman"/>
          <w:sz w:val="20"/>
          <w:szCs w:val="20"/>
        </w:rPr>
        <w:t>Anahtar Kelimeler: Çok düzeyli yönetişim, Kamu yönetiminde değişim, Avrupalılaşma, Özerklik, U</w:t>
      </w:r>
      <w:r w:rsidR="00352898" w:rsidRPr="00986AD1">
        <w:rPr>
          <w:rFonts w:ascii="Times New Roman" w:eastAsia="Calibri" w:hAnsi="Times New Roman" w:cs="Times New Roman"/>
          <w:sz w:val="20"/>
          <w:szCs w:val="20"/>
        </w:rPr>
        <w:t>lus-altı aktörler.</w:t>
      </w:r>
    </w:p>
    <w:p w:rsidR="00986AD1" w:rsidRDefault="00986AD1" w:rsidP="00986AD1">
      <w:pPr>
        <w:spacing w:after="120" w:line="240" w:lineRule="auto"/>
        <w:jc w:val="both"/>
        <w:rPr>
          <w:rFonts w:ascii="Times New Roman" w:eastAsia="Calibri" w:hAnsi="Times New Roman" w:cs="Times New Roman"/>
          <w:sz w:val="20"/>
          <w:szCs w:val="20"/>
        </w:rPr>
      </w:pPr>
    </w:p>
    <w:p w:rsidR="0069007B" w:rsidRDefault="00FD4F37" w:rsidP="00D31394">
      <w:pPr>
        <w:spacing w:before="120" w:after="12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THE SCIENTIFIC CHALLE</w:t>
      </w:r>
      <w:r w:rsidR="00BB3B17" w:rsidRPr="00AC2175">
        <w:rPr>
          <w:rFonts w:ascii="Times New Roman" w:eastAsia="Calibri" w:hAnsi="Times New Roman" w:cs="Times New Roman"/>
          <w:b/>
          <w:sz w:val="24"/>
          <w:szCs w:val="24"/>
        </w:rPr>
        <w:t xml:space="preserve">NGE </w:t>
      </w:r>
      <w:r w:rsidR="0069007B" w:rsidRPr="00AC2175">
        <w:rPr>
          <w:rFonts w:ascii="Times New Roman" w:eastAsia="Calibri" w:hAnsi="Times New Roman" w:cs="Times New Roman"/>
          <w:b/>
          <w:sz w:val="24"/>
          <w:szCs w:val="24"/>
        </w:rPr>
        <w:t>OF MULTI-LEVEL GOVERNANCE</w:t>
      </w:r>
      <w:r w:rsidR="00BB3B17" w:rsidRPr="00AC2175">
        <w:rPr>
          <w:rFonts w:ascii="Times New Roman" w:eastAsia="Calibri" w:hAnsi="Times New Roman" w:cs="Times New Roman"/>
          <w:b/>
          <w:sz w:val="24"/>
          <w:szCs w:val="24"/>
        </w:rPr>
        <w:t xml:space="preserve"> </w:t>
      </w:r>
      <w:r w:rsidR="001707C8">
        <w:rPr>
          <w:rFonts w:ascii="Times New Roman" w:eastAsia="Calibri" w:hAnsi="Times New Roman" w:cs="Times New Roman"/>
          <w:b/>
          <w:sz w:val="24"/>
          <w:szCs w:val="24"/>
        </w:rPr>
        <w:t>(</w:t>
      </w:r>
      <w:r w:rsidR="00BB3B17" w:rsidRPr="00AC2175">
        <w:rPr>
          <w:rFonts w:ascii="Times New Roman" w:eastAsia="Calibri" w:hAnsi="Times New Roman" w:cs="Times New Roman"/>
          <w:b/>
          <w:sz w:val="24"/>
          <w:szCs w:val="24"/>
        </w:rPr>
        <w:t>AS</w:t>
      </w:r>
      <w:r w:rsidR="001707C8">
        <w:rPr>
          <w:rFonts w:ascii="Times New Roman" w:eastAsia="Calibri" w:hAnsi="Times New Roman" w:cs="Times New Roman"/>
          <w:b/>
          <w:sz w:val="24"/>
          <w:szCs w:val="24"/>
        </w:rPr>
        <w:t>)</w:t>
      </w:r>
      <w:r w:rsidR="00BB3B17" w:rsidRPr="00AC2175">
        <w:rPr>
          <w:rFonts w:ascii="Times New Roman" w:eastAsia="Calibri" w:hAnsi="Times New Roman" w:cs="Times New Roman"/>
          <w:b/>
          <w:sz w:val="24"/>
          <w:szCs w:val="24"/>
        </w:rPr>
        <w:t xml:space="preserve"> A CONCEPT</w:t>
      </w:r>
    </w:p>
    <w:p w:rsidR="00B8666F" w:rsidRPr="00D31394" w:rsidRDefault="00B8666F" w:rsidP="00B8666F">
      <w:pPr>
        <w:spacing w:before="120" w:after="120" w:line="240" w:lineRule="auto"/>
        <w:jc w:val="right"/>
        <w:rPr>
          <w:rFonts w:ascii="Times New Roman" w:hAnsi="Times New Roman" w:cs="Times New Roman"/>
          <w:sz w:val="20"/>
          <w:szCs w:val="20"/>
        </w:rPr>
      </w:pPr>
      <w:r w:rsidRPr="00D31394">
        <w:rPr>
          <w:rFonts w:ascii="Times New Roman" w:hAnsi="Times New Roman" w:cs="Times New Roman"/>
          <w:sz w:val="20"/>
          <w:szCs w:val="20"/>
        </w:rPr>
        <w:t>Dilek DEDE</w:t>
      </w:r>
      <w:r w:rsidRPr="00D31394">
        <w:rPr>
          <w:rStyle w:val="DipnotBavurusu"/>
          <w:rFonts w:ascii="Times New Roman" w:hAnsi="Times New Roman" w:cs="Times New Roman"/>
          <w:sz w:val="20"/>
          <w:szCs w:val="20"/>
        </w:rPr>
        <w:footnoteReference w:customMarkFollows="1" w:id="2"/>
        <w:sym w:font="Symbol" w:char="F02A"/>
      </w:r>
    </w:p>
    <w:p w:rsidR="00D31394" w:rsidRPr="00AC2175" w:rsidRDefault="00D31394" w:rsidP="00D31394">
      <w:pPr>
        <w:spacing w:before="120" w:after="120" w:line="240" w:lineRule="auto"/>
        <w:jc w:val="center"/>
        <w:rPr>
          <w:rFonts w:ascii="Times New Roman" w:eastAsia="Calibri" w:hAnsi="Times New Roman" w:cs="Times New Roman"/>
          <w:b/>
          <w:sz w:val="24"/>
          <w:szCs w:val="24"/>
        </w:rPr>
      </w:pPr>
    </w:p>
    <w:p w:rsidR="00986AD1" w:rsidRPr="00AC2175" w:rsidRDefault="00986AD1" w:rsidP="00D31394">
      <w:pPr>
        <w:spacing w:before="120" w:after="120" w:line="240" w:lineRule="auto"/>
        <w:jc w:val="both"/>
        <w:rPr>
          <w:rFonts w:ascii="Times New Roman" w:eastAsia="Calibri" w:hAnsi="Times New Roman" w:cs="Times New Roman"/>
          <w:b/>
          <w:sz w:val="20"/>
          <w:szCs w:val="20"/>
        </w:rPr>
      </w:pPr>
      <w:r w:rsidRPr="00AC2175">
        <w:rPr>
          <w:rFonts w:ascii="Times New Roman" w:eastAsia="Calibri" w:hAnsi="Times New Roman" w:cs="Times New Roman"/>
          <w:b/>
          <w:sz w:val="20"/>
          <w:szCs w:val="20"/>
        </w:rPr>
        <w:t>ABSTRACT</w:t>
      </w:r>
    </w:p>
    <w:p w:rsidR="00986AD1" w:rsidRPr="009A449C" w:rsidRDefault="00F23F81"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 xml:space="preserve">This study </w:t>
      </w:r>
      <w:r w:rsidR="001860BB" w:rsidRPr="009A449C">
        <w:rPr>
          <w:rFonts w:ascii="Times New Roman" w:eastAsia="Times New Roman" w:hAnsi="Times New Roman" w:cs="Times New Roman"/>
          <w:sz w:val="20"/>
          <w:szCs w:val="20"/>
          <w:lang w:eastAsia="tr-TR"/>
        </w:rPr>
        <w:t>seeks understanding</w:t>
      </w:r>
      <w:r w:rsidRPr="009A449C">
        <w:rPr>
          <w:rFonts w:ascii="Times New Roman" w:eastAsia="Times New Roman" w:hAnsi="Times New Roman" w:cs="Times New Roman"/>
          <w:sz w:val="20"/>
          <w:szCs w:val="20"/>
          <w:lang w:eastAsia="tr-TR"/>
        </w:rPr>
        <w:t xml:space="preserve"> of the concept of</w:t>
      </w:r>
      <w:r w:rsidR="00645A1D" w:rsidRPr="009A449C">
        <w:rPr>
          <w:rFonts w:ascii="Times New Roman" w:eastAsia="Times New Roman" w:hAnsi="Times New Roman" w:cs="Times New Roman"/>
          <w:sz w:val="20"/>
          <w:szCs w:val="20"/>
          <w:lang w:eastAsia="tr-TR"/>
        </w:rPr>
        <w:t xml:space="preserve"> multi-level governance</w:t>
      </w:r>
      <w:r w:rsidRPr="009A449C">
        <w:rPr>
          <w:rFonts w:ascii="Times New Roman" w:eastAsia="Times New Roman" w:hAnsi="Times New Roman" w:cs="Times New Roman"/>
          <w:sz w:val="20"/>
          <w:szCs w:val="20"/>
          <w:lang w:eastAsia="tr-TR"/>
        </w:rPr>
        <w:t xml:space="preserve"> through a critical assesment within the</w:t>
      </w:r>
      <w:r w:rsidR="00645A1D" w:rsidRPr="009A449C">
        <w:rPr>
          <w:rFonts w:ascii="Times New Roman" w:eastAsia="Times New Roman" w:hAnsi="Times New Roman" w:cs="Times New Roman"/>
          <w:sz w:val="20"/>
          <w:szCs w:val="20"/>
          <w:lang w:eastAsia="tr-TR"/>
        </w:rPr>
        <w:t xml:space="preserve"> literature.</w:t>
      </w:r>
    </w:p>
    <w:p w:rsidR="00645A1D" w:rsidRPr="009A449C" w:rsidRDefault="00645A1D"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Multi level governace</w:t>
      </w:r>
      <w:r w:rsidR="004F4A08" w:rsidRPr="009A449C">
        <w:rPr>
          <w:rFonts w:ascii="Times New Roman" w:eastAsia="Times New Roman" w:hAnsi="Times New Roman" w:cs="Times New Roman"/>
          <w:sz w:val="20"/>
          <w:szCs w:val="20"/>
          <w:lang w:eastAsia="tr-TR"/>
        </w:rPr>
        <w:t xml:space="preserve"> has described as a reassesment form of governance which, is actual in the early of 1990’s, at the “age of crisis”</w:t>
      </w:r>
      <w:r w:rsidR="00BC2904" w:rsidRPr="009A449C">
        <w:rPr>
          <w:rFonts w:ascii="Times New Roman" w:eastAsia="Times New Roman" w:hAnsi="Times New Roman" w:cs="Times New Roman"/>
          <w:sz w:val="20"/>
          <w:szCs w:val="20"/>
          <w:lang w:eastAsia="tr-TR"/>
        </w:rPr>
        <w:t xml:space="preserve">. At that time parallely </w:t>
      </w:r>
      <w:r w:rsidR="00F23F81" w:rsidRPr="009A449C">
        <w:rPr>
          <w:rFonts w:ascii="Times New Roman" w:eastAsia="Times New Roman" w:hAnsi="Times New Roman" w:cs="Times New Roman"/>
          <w:sz w:val="20"/>
          <w:szCs w:val="20"/>
          <w:lang w:eastAsia="tr-TR"/>
        </w:rPr>
        <w:t xml:space="preserve">academic </w:t>
      </w:r>
      <w:r w:rsidR="001B4B62" w:rsidRPr="009A449C">
        <w:rPr>
          <w:rFonts w:ascii="Times New Roman" w:eastAsia="Times New Roman" w:hAnsi="Times New Roman" w:cs="Times New Roman"/>
          <w:sz w:val="20"/>
          <w:szCs w:val="20"/>
          <w:lang w:eastAsia="tr-TR"/>
        </w:rPr>
        <w:t xml:space="preserve">boundaries of  </w:t>
      </w:r>
      <w:r w:rsidR="00F23F81" w:rsidRPr="009A449C">
        <w:rPr>
          <w:rFonts w:ascii="Times New Roman" w:eastAsia="Times New Roman" w:hAnsi="Times New Roman" w:cs="Times New Roman"/>
          <w:sz w:val="20"/>
          <w:szCs w:val="20"/>
          <w:lang w:eastAsia="tr-TR"/>
        </w:rPr>
        <w:t xml:space="preserve">the traditional </w:t>
      </w:r>
      <w:r w:rsidR="00D31394">
        <w:rPr>
          <w:rFonts w:ascii="Times New Roman" w:eastAsia="Times New Roman" w:hAnsi="Times New Roman" w:cs="Times New Roman"/>
          <w:sz w:val="20"/>
          <w:szCs w:val="20"/>
          <w:lang w:eastAsia="tr-TR"/>
        </w:rPr>
        <w:t>distinction</w:t>
      </w:r>
      <w:r w:rsidR="00BB3B17">
        <w:rPr>
          <w:rFonts w:ascii="Times New Roman" w:eastAsia="Times New Roman" w:hAnsi="Times New Roman" w:cs="Times New Roman"/>
          <w:sz w:val="20"/>
          <w:szCs w:val="20"/>
          <w:lang w:eastAsia="tr-TR"/>
        </w:rPr>
        <w:t xml:space="preserve"> between domestic and inter</w:t>
      </w:r>
      <w:r w:rsidR="00D31394">
        <w:rPr>
          <w:rFonts w:ascii="Times New Roman" w:eastAsia="Times New Roman" w:hAnsi="Times New Roman" w:cs="Times New Roman"/>
          <w:sz w:val="20"/>
          <w:szCs w:val="20"/>
          <w:lang w:eastAsia="tr-TR"/>
        </w:rPr>
        <w:t xml:space="preserve"> n</w:t>
      </w:r>
      <w:r w:rsidR="00F23F81" w:rsidRPr="009A449C">
        <w:rPr>
          <w:rFonts w:ascii="Times New Roman" w:eastAsia="Times New Roman" w:hAnsi="Times New Roman" w:cs="Times New Roman"/>
          <w:sz w:val="20"/>
          <w:szCs w:val="20"/>
          <w:lang w:eastAsia="tr-TR"/>
        </w:rPr>
        <w:t xml:space="preserve">ational </w:t>
      </w:r>
      <w:r w:rsidR="00D31394">
        <w:rPr>
          <w:rFonts w:ascii="Times New Roman" w:eastAsia="Times New Roman" w:hAnsi="Times New Roman" w:cs="Times New Roman"/>
          <w:sz w:val="20"/>
          <w:szCs w:val="20"/>
          <w:lang w:eastAsia="tr-TR"/>
        </w:rPr>
        <w:t>politics is blure</w:t>
      </w:r>
      <w:r w:rsidR="001B4B62" w:rsidRPr="009A449C">
        <w:rPr>
          <w:rFonts w:ascii="Times New Roman" w:eastAsia="Times New Roman" w:hAnsi="Times New Roman" w:cs="Times New Roman"/>
          <w:sz w:val="20"/>
          <w:szCs w:val="20"/>
          <w:lang w:eastAsia="tr-TR"/>
        </w:rPr>
        <w:t>.</w:t>
      </w:r>
    </w:p>
    <w:p w:rsidR="001B4B62" w:rsidRPr="009A449C" w:rsidRDefault="001B4B62"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Gary Marks  first used the phrase multi-level governance to capture developments in EU structural policy following Maastrich Treaty in 1992.</w:t>
      </w:r>
    </w:p>
    <w:p w:rsidR="00CD340E" w:rsidRPr="009A449C" w:rsidRDefault="001E45E1"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Multi level governance is on the one hand pluralist structure consisted of  public, private, NGO partnership, on the other hand dispersion of hierarcy between supranational, national and sub national levels in deci</w:t>
      </w:r>
      <w:r w:rsidR="00E649B8">
        <w:rPr>
          <w:rFonts w:ascii="Times New Roman" w:eastAsia="Times New Roman" w:hAnsi="Times New Roman" w:cs="Times New Roman"/>
          <w:sz w:val="20"/>
          <w:szCs w:val="20"/>
          <w:lang w:eastAsia="tr-TR"/>
        </w:rPr>
        <w:t>si</w:t>
      </w:r>
      <w:r w:rsidRPr="009A449C">
        <w:rPr>
          <w:rFonts w:ascii="Times New Roman" w:eastAsia="Times New Roman" w:hAnsi="Times New Roman" w:cs="Times New Roman"/>
          <w:sz w:val="20"/>
          <w:szCs w:val="20"/>
          <w:lang w:eastAsia="tr-TR"/>
        </w:rPr>
        <w:t>on making process of public policy.</w:t>
      </w:r>
      <w:r w:rsidR="00CD340E" w:rsidRPr="009A449C">
        <w:rPr>
          <w:rFonts w:ascii="Times New Roman" w:eastAsia="Times New Roman" w:hAnsi="Times New Roman" w:cs="Times New Roman"/>
          <w:sz w:val="20"/>
          <w:szCs w:val="20"/>
          <w:lang w:eastAsia="tr-TR"/>
        </w:rPr>
        <w:t xml:space="preserve"> Description of multi level governance is an ad-hoc network which implements between decision makers as a parmament negotiation process</w:t>
      </w:r>
    </w:p>
    <w:p w:rsidR="001E45E1" w:rsidRPr="009A449C" w:rsidRDefault="00FA5CAB" w:rsidP="009A449C">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The criticism of m</w:t>
      </w:r>
      <w:r w:rsidR="00CD340E" w:rsidRPr="009A449C">
        <w:rPr>
          <w:rFonts w:ascii="Times New Roman" w:eastAsia="Times New Roman" w:hAnsi="Times New Roman" w:cs="Times New Roman"/>
          <w:sz w:val="20"/>
          <w:szCs w:val="20"/>
          <w:lang w:eastAsia="tr-TR"/>
        </w:rPr>
        <w:t xml:space="preserve">ulti level governance </w:t>
      </w:r>
      <w:r w:rsidRPr="009A449C">
        <w:rPr>
          <w:rFonts w:ascii="Times New Roman" w:eastAsia="Times New Roman" w:hAnsi="Times New Roman" w:cs="Times New Roman"/>
          <w:sz w:val="20"/>
          <w:szCs w:val="20"/>
          <w:lang w:eastAsia="tr-TR"/>
        </w:rPr>
        <w:t>is classified in two perspective. These are theoric and ampr</w:t>
      </w:r>
      <w:r w:rsidR="00FD4F37">
        <w:rPr>
          <w:rFonts w:ascii="Times New Roman" w:eastAsia="Times New Roman" w:hAnsi="Times New Roman" w:cs="Times New Roman"/>
          <w:sz w:val="20"/>
          <w:szCs w:val="20"/>
          <w:lang w:eastAsia="tr-TR"/>
        </w:rPr>
        <w:t>ic side.</w:t>
      </w:r>
      <w:r w:rsidR="00DF3636">
        <w:rPr>
          <w:rFonts w:ascii="Times New Roman" w:eastAsia="Times New Roman" w:hAnsi="Times New Roman" w:cs="Times New Roman"/>
          <w:sz w:val="20"/>
          <w:szCs w:val="20"/>
          <w:lang w:eastAsia="tr-TR"/>
        </w:rPr>
        <w:t xml:space="preserve"> </w:t>
      </w:r>
      <w:r w:rsidR="00DF3636" w:rsidRPr="009A449C">
        <w:rPr>
          <w:rFonts w:ascii="Times New Roman" w:eastAsia="Times New Roman" w:hAnsi="Times New Roman" w:cs="Times New Roman"/>
          <w:sz w:val="20"/>
          <w:szCs w:val="20"/>
          <w:lang w:eastAsia="tr-TR"/>
        </w:rPr>
        <w:t>we performed theoric dimension of ciriticism</w:t>
      </w:r>
      <w:r w:rsidR="00DF3636">
        <w:rPr>
          <w:rFonts w:ascii="Times New Roman" w:eastAsia="Times New Roman" w:hAnsi="Times New Roman" w:cs="Times New Roman"/>
          <w:sz w:val="20"/>
          <w:szCs w:val="20"/>
          <w:lang w:eastAsia="tr-TR"/>
        </w:rPr>
        <w:t xml:space="preserve"> d</w:t>
      </w:r>
      <w:r w:rsidR="00DF3636" w:rsidRPr="009A449C">
        <w:rPr>
          <w:rFonts w:ascii="Times New Roman" w:eastAsia="Times New Roman" w:hAnsi="Times New Roman" w:cs="Times New Roman"/>
          <w:sz w:val="20"/>
          <w:szCs w:val="20"/>
          <w:lang w:eastAsia="tr-TR"/>
        </w:rPr>
        <w:t>ue to the fact that</w:t>
      </w:r>
      <w:r w:rsidR="00DF3636">
        <w:rPr>
          <w:rFonts w:ascii="Times New Roman" w:eastAsia="Times New Roman" w:hAnsi="Times New Roman" w:cs="Times New Roman"/>
          <w:sz w:val="20"/>
          <w:szCs w:val="20"/>
          <w:lang w:eastAsia="tr-TR"/>
        </w:rPr>
        <w:t xml:space="preserve"> s</w:t>
      </w:r>
      <w:r w:rsidR="00FD4F37">
        <w:rPr>
          <w:rFonts w:ascii="Times New Roman" w:eastAsia="Times New Roman" w:hAnsi="Times New Roman" w:cs="Times New Roman"/>
          <w:sz w:val="20"/>
          <w:szCs w:val="20"/>
          <w:lang w:eastAsia="tr-TR"/>
        </w:rPr>
        <w:t>cientific challe</w:t>
      </w:r>
      <w:r w:rsidR="00BB3B17">
        <w:rPr>
          <w:rFonts w:ascii="Times New Roman" w:eastAsia="Times New Roman" w:hAnsi="Times New Roman" w:cs="Times New Roman"/>
          <w:sz w:val="20"/>
          <w:szCs w:val="20"/>
          <w:lang w:eastAsia="tr-TR"/>
        </w:rPr>
        <w:t>nge</w:t>
      </w:r>
      <w:r w:rsidRPr="009A449C">
        <w:rPr>
          <w:rFonts w:ascii="Times New Roman" w:eastAsia="Times New Roman" w:hAnsi="Times New Roman" w:cs="Times New Roman"/>
          <w:sz w:val="20"/>
          <w:szCs w:val="20"/>
          <w:lang w:eastAsia="tr-TR"/>
        </w:rPr>
        <w:t xml:space="preserve"> of multi level governance is discussed in first side.</w:t>
      </w:r>
      <w:r w:rsidR="009A449C" w:rsidRPr="009A449C">
        <w:rPr>
          <w:rFonts w:ascii="Times New Roman" w:eastAsia="Times New Roman" w:hAnsi="Times New Roman" w:cs="Times New Roman"/>
          <w:sz w:val="20"/>
          <w:szCs w:val="20"/>
          <w:lang w:eastAsia="tr-TR"/>
        </w:rPr>
        <w:t xml:space="preserve"> </w:t>
      </w:r>
    </w:p>
    <w:p w:rsidR="006D301D" w:rsidRPr="002863DE" w:rsidRDefault="009A449C" w:rsidP="002863DE">
      <w:pPr>
        <w:spacing w:before="120" w:after="120" w:line="240" w:lineRule="auto"/>
        <w:jc w:val="both"/>
        <w:rPr>
          <w:rFonts w:ascii="Times New Roman" w:eastAsia="Times New Roman" w:hAnsi="Times New Roman" w:cs="Times New Roman"/>
          <w:sz w:val="20"/>
          <w:szCs w:val="20"/>
          <w:lang w:eastAsia="tr-TR"/>
        </w:rPr>
      </w:pPr>
      <w:r w:rsidRPr="009A449C">
        <w:rPr>
          <w:rFonts w:ascii="Times New Roman" w:eastAsia="Times New Roman" w:hAnsi="Times New Roman" w:cs="Times New Roman"/>
          <w:sz w:val="20"/>
          <w:szCs w:val="20"/>
          <w:lang w:eastAsia="tr-TR"/>
        </w:rPr>
        <w:t xml:space="preserve"> Firstly </w:t>
      </w:r>
      <w:r w:rsidRPr="002863DE">
        <w:rPr>
          <w:rFonts w:ascii="Times New Roman" w:eastAsia="Times New Roman" w:hAnsi="Times New Roman" w:cs="Times New Roman"/>
          <w:sz w:val="20"/>
          <w:szCs w:val="20"/>
          <w:lang w:eastAsia="tr-TR"/>
        </w:rPr>
        <w:t>multi-level governance is not a new theory however, it is an eclectic amalgam of novel  theories. Secondly, it provides a descrip</w:t>
      </w:r>
      <w:r w:rsidR="00BB3B17">
        <w:rPr>
          <w:rFonts w:ascii="Times New Roman" w:eastAsia="Times New Roman" w:hAnsi="Times New Roman" w:cs="Times New Roman"/>
          <w:sz w:val="20"/>
          <w:szCs w:val="20"/>
          <w:lang w:eastAsia="tr-TR"/>
        </w:rPr>
        <w:t>tion of the European Union for t</w:t>
      </w:r>
      <w:r w:rsidRPr="002863DE">
        <w:rPr>
          <w:rFonts w:ascii="Times New Roman" w:eastAsia="Times New Roman" w:hAnsi="Times New Roman" w:cs="Times New Roman"/>
          <w:sz w:val="20"/>
          <w:szCs w:val="20"/>
          <w:lang w:eastAsia="tr-TR"/>
        </w:rPr>
        <w:t>hat reason it is not a theory.</w:t>
      </w:r>
    </w:p>
    <w:p w:rsidR="002863DE" w:rsidRPr="002863DE" w:rsidRDefault="00E649B8" w:rsidP="002863DE">
      <w:pPr>
        <w:spacing w:before="120" w:after="120" w:line="240" w:lineRule="auto"/>
        <w:jc w:val="both"/>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 xml:space="preserve"> İn methodology, it is a theoric</w:t>
      </w:r>
      <w:r w:rsidR="002863DE">
        <w:rPr>
          <w:rFonts w:ascii="Times New Roman" w:eastAsia="Times New Roman" w:hAnsi="Times New Roman" w:cs="Times New Roman"/>
          <w:sz w:val="20"/>
          <w:szCs w:val="20"/>
          <w:lang w:eastAsia="tr-TR"/>
        </w:rPr>
        <w:t xml:space="preserve"> exploration</w:t>
      </w:r>
      <w:r>
        <w:rPr>
          <w:rFonts w:ascii="Times New Roman" w:eastAsia="Times New Roman" w:hAnsi="Times New Roman" w:cs="Times New Roman"/>
          <w:sz w:val="20"/>
          <w:szCs w:val="20"/>
          <w:lang w:eastAsia="tr-TR"/>
        </w:rPr>
        <w:t xml:space="preserve"> study, through scanning literature</w:t>
      </w:r>
      <w:r w:rsidR="002863DE">
        <w:rPr>
          <w:rFonts w:ascii="Times New Roman" w:eastAsia="Times New Roman" w:hAnsi="Times New Roman" w:cs="Times New Roman"/>
          <w:sz w:val="20"/>
          <w:szCs w:val="20"/>
          <w:lang w:eastAsia="tr-TR"/>
        </w:rPr>
        <w:t xml:space="preserve">. Firstly, </w:t>
      </w:r>
      <w:r w:rsidR="002863DE" w:rsidRPr="002863DE">
        <w:rPr>
          <w:rFonts w:ascii="Times New Roman" w:eastAsia="Times New Roman" w:hAnsi="Times New Roman" w:cs="Times New Roman"/>
          <w:sz w:val="20"/>
          <w:szCs w:val="20"/>
          <w:lang w:eastAsia="tr-TR"/>
        </w:rPr>
        <w:t>I performed descriptions and characteristics of MLG in literature Secondly I present and examine the crisicism of the concept .</w:t>
      </w:r>
    </w:p>
    <w:p w:rsidR="00B14EF9" w:rsidRDefault="00B14EF9" w:rsidP="002863DE">
      <w:pPr>
        <w:spacing w:before="120" w:after="120" w:line="240" w:lineRule="auto"/>
        <w:jc w:val="both"/>
        <w:rPr>
          <w:rFonts w:ascii="Times New Roman" w:eastAsia="Times New Roman" w:hAnsi="Times New Roman" w:cs="Times New Roman"/>
          <w:sz w:val="20"/>
          <w:szCs w:val="20"/>
          <w:lang w:eastAsia="tr-TR"/>
        </w:rPr>
      </w:pPr>
    </w:p>
    <w:p w:rsidR="00E649B8" w:rsidRDefault="005F7E8C" w:rsidP="002863DE">
      <w:pPr>
        <w:spacing w:before="120" w:after="120" w:line="240" w:lineRule="auto"/>
        <w:jc w:val="both"/>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Key W</w:t>
      </w:r>
      <w:r w:rsidR="002863DE">
        <w:rPr>
          <w:rFonts w:ascii="Times New Roman" w:eastAsia="Times New Roman" w:hAnsi="Times New Roman" w:cs="Times New Roman"/>
          <w:sz w:val="20"/>
          <w:szCs w:val="20"/>
          <w:lang w:eastAsia="tr-TR"/>
        </w:rPr>
        <w:t>ords: Multi level governance, Shifts on public administration, Europeanisation, Authonomy, Sub-national actors.</w:t>
      </w:r>
    </w:p>
    <w:p w:rsidR="003F69DA" w:rsidRDefault="003F69DA" w:rsidP="002863DE">
      <w:pPr>
        <w:spacing w:before="120" w:after="120" w:line="240" w:lineRule="auto"/>
        <w:jc w:val="both"/>
        <w:rPr>
          <w:rFonts w:ascii="Times New Roman" w:eastAsia="Times New Roman" w:hAnsi="Times New Roman" w:cs="Times New Roman"/>
          <w:b/>
          <w:lang w:eastAsia="tr-TR"/>
        </w:rPr>
      </w:pPr>
    </w:p>
    <w:p w:rsidR="0042584D" w:rsidRDefault="0042584D" w:rsidP="002863DE">
      <w:pPr>
        <w:spacing w:before="120" w:after="120" w:line="240" w:lineRule="auto"/>
        <w:jc w:val="both"/>
        <w:rPr>
          <w:rFonts w:ascii="Times New Roman" w:eastAsia="Times New Roman" w:hAnsi="Times New Roman" w:cs="Times New Roman"/>
          <w:b/>
          <w:lang w:eastAsia="tr-TR"/>
        </w:rPr>
      </w:pPr>
    </w:p>
    <w:p w:rsidR="00AE56FC" w:rsidRDefault="00D31394" w:rsidP="002863DE">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lastRenderedPageBreak/>
        <w:t>G</w:t>
      </w:r>
      <w:r w:rsidR="00AE56FC" w:rsidRPr="00AE56FC">
        <w:rPr>
          <w:rFonts w:ascii="Times New Roman" w:eastAsia="Times New Roman" w:hAnsi="Times New Roman" w:cs="Times New Roman"/>
          <w:b/>
          <w:lang w:eastAsia="tr-TR"/>
        </w:rPr>
        <w:t>İRİŞ</w:t>
      </w:r>
    </w:p>
    <w:p w:rsidR="0042584D" w:rsidRPr="0006798D" w:rsidRDefault="003F69DA"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Çok düzeyli yönetişim kavramı, iç politika dış politika ayrımının bulanıklaştığı “Krizler Çağı” olarak nitelendirilen 1990’larda ilk defa Gary Marks tarafından kullanılmıştır. Kavramın ilk kullanılışı 1988 bölge politikası reformuyla getirilen yapısal fonların üye devletlere dağıtılması mekanizmasını açıklamak için kullanılmıştır.</w:t>
      </w:r>
      <w:r w:rsidR="007E68B7" w:rsidRPr="0006798D">
        <w:rPr>
          <w:rFonts w:ascii="Times New Roman" w:eastAsia="Times New Roman" w:hAnsi="Times New Roman" w:cs="Times New Roman"/>
          <w:lang w:eastAsia="tr-TR"/>
        </w:rPr>
        <w:t xml:space="preserve"> </w:t>
      </w:r>
    </w:p>
    <w:p w:rsidR="0042584D" w:rsidRPr="0006798D" w:rsidRDefault="007E68B7"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Çok düzeyli yönetişim bir yönüyle</w:t>
      </w:r>
      <w:r w:rsidR="00B8666F" w:rsidRPr="0006798D">
        <w:rPr>
          <w:rFonts w:ascii="Times New Roman" w:eastAsia="Times New Roman" w:hAnsi="Times New Roman" w:cs="Times New Roman"/>
          <w:lang w:eastAsia="tr-TR"/>
        </w:rPr>
        <w:t xml:space="preserve"> modern devletin karar alma ve uygulama tekelini kırarak yetkilerin ulus-üstü, ulusal, ulus-altı düzeylerde dağıtılmasını, öte yandan karar alma sürecine katılan aktörlerin- piyasa, devlet, sivil toplum- yerel halk vs, katılımını kasteder. Bu açılardan ilk yönüyle çok düzeyliliğe diğer yönüyle yönetişime referans verir. </w:t>
      </w:r>
    </w:p>
    <w:p w:rsidR="00B14EF9" w:rsidRPr="0006798D" w:rsidRDefault="00B8666F"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Çok düz</w:t>
      </w:r>
      <w:r w:rsidR="00FD4F37">
        <w:rPr>
          <w:rFonts w:ascii="Times New Roman" w:eastAsia="Times New Roman" w:hAnsi="Times New Roman" w:cs="Times New Roman"/>
          <w:lang w:eastAsia="tr-TR"/>
        </w:rPr>
        <w:t>eyli yönetişim kavramı alan yazınında</w:t>
      </w:r>
      <w:r w:rsidRPr="0006798D">
        <w:rPr>
          <w:rFonts w:ascii="Times New Roman" w:eastAsia="Times New Roman" w:hAnsi="Times New Roman" w:cs="Times New Roman"/>
          <w:lang w:eastAsia="tr-TR"/>
        </w:rPr>
        <w:t xml:space="preserve"> </w:t>
      </w:r>
      <w:r w:rsidR="00B14EF9" w:rsidRPr="0006798D">
        <w:rPr>
          <w:rFonts w:ascii="Times New Roman" w:eastAsia="Times New Roman" w:hAnsi="Times New Roman" w:cs="Times New Roman"/>
          <w:lang w:eastAsia="tr-TR"/>
        </w:rPr>
        <w:t>teorik, ampirik ve normatif açılardan incelenmektedir. Bu çalışmada çok düzeyli yönetişim kavramının bilimselliği ile ilgili olarak kavramın teorik boyutunu ele alacağız.</w:t>
      </w:r>
    </w:p>
    <w:p w:rsidR="00B14EF9" w:rsidRPr="0006798D" w:rsidRDefault="00B14EF9"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Çalışmada amacımız; çok düzeyli yönetişim kavramının tanımlarından ve özellik</w:t>
      </w:r>
      <w:r w:rsidR="00FD4F37">
        <w:rPr>
          <w:rFonts w:ascii="Times New Roman" w:eastAsia="Times New Roman" w:hAnsi="Times New Roman" w:cs="Times New Roman"/>
          <w:lang w:eastAsia="tr-TR"/>
        </w:rPr>
        <w:t>lerinden yola çıkarak, alan yazınında</w:t>
      </w:r>
      <w:r w:rsidRPr="0006798D">
        <w:rPr>
          <w:rFonts w:ascii="Times New Roman" w:eastAsia="Times New Roman" w:hAnsi="Times New Roman" w:cs="Times New Roman"/>
          <w:lang w:eastAsia="tr-TR"/>
        </w:rPr>
        <w:t xml:space="preserve"> ele alınan eleştirilerine yer vermektir. Kavrama yöneltilen eleştiriler teorik ve ampirik boyuta ilişkin olarak ikili bir sınıflandırmayla ele alınmaktadır. Bu çalışma kapsamında kavramın bilimselliği sorunuyla bağdaşması nedeniyle sadece teorik boyutuna yönelik eleştirilere işaret edeceğiz. </w:t>
      </w:r>
    </w:p>
    <w:p w:rsidR="0006798D" w:rsidRDefault="0006798D" w:rsidP="00AD123D">
      <w:pPr>
        <w:spacing w:before="120" w:after="120" w:line="240" w:lineRule="auto"/>
        <w:jc w:val="both"/>
        <w:rPr>
          <w:rFonts w:ascii="Times New Roman" w:eastAsia="Calibri" w:hAnsi="Times New Roman" w:cs="Times New Roman"/>
        </w:rPr>
      </w:pPr>
      <w:r w:rsidRPr="0006798D">
        <w:rPr>
          <w:rFonts w:ascii="Times New Roman" w:eastAsia="Times New Roman" w:hAnsi="Times New Roman" w:cs="Times New Roman"/>
          <w:lang w:eastAsia="tr-TR"/>
        </w:rPr>
        <w:t>Yöntemsel olarak; literatür taraması yöntemiyle değerlendirme çalışması yapılmıştır. Çalış</w:t>
      </w:r>
      <w:r w:rsidRPr="0006798D">
        <w:rPr>
          <w:rFonts w:ascii="Times New Roman" w:eastAsia="Calibri" w:hAnsi="Times New Roman" w:cs="Times New Roman"/>
        </w:rPr>
        <w:t>mada ilk olarak çok düzeyli yönetişim kavramının tanımına ve özelliklerine iş</w:t>
      </w:r>
      <w:r w:rsidR="00AF10E6">
        <w:rPr>
          <w:rFonts w:ascii="Times New Roman" w:eastAsia="Calibri" w:hAnsi="Times New Roman" w:cs="Times New Roman"/>
        </w:rPr>
        <w:t>aret edilecektir. İkinci olarak</w:t>
      </w:r>
      <w:r w:rsidRPr="0006798D">
        <w:rPr>
          <w:rFonts w:ascii="Times New Roman" w:eastAsia="Calibri" w:hAnsi="Times New Roman" w:cs="Times New Roman"/>
        </w:rPr>
        <w:t xml:space="preserve"> çok düzeyli yönetişime yöneltilen eleştirilerden bahsedilecek ve değerlendirmede bulunulacaktır. </w:t>
      </w:r>
    </w:p>
    <w:p w:rsidR="0006798D" w:rsidRDefault="0006798D" w:rsidP="00AD123D">
      <w:pPr>
        <w:spacing w:before="120" w:after="120" w:line="240" w:lineRule="auto"/>
        <w:jc w:val="both"/>
        <w:rPr>
          <w:rStyle w:val="KitapBal"/>
          <w:rFonts w:ascii="Times New Roman" w:hAnsi="Times New Roman" w:cs="Times New Roman"/>
        </w:rPr>
      </w:pPr>
    </w:p>
    <w:p w:rsidR="0006798D" w:rsidRDefault="0006798D" w:rsidP="00AD123D">
      <w:pPr>
        <w:spacing w:before="120" w:after="120" w:line="240" w:lineRule="auto"/>
        <w:jc w:val="both"/>
        <w:rPr>
          <w:rStyle w:val="KitapBal"/>
          <w:rFonts w:ascii="Times New Roman" w:hAnsi="Times New Roman" w:cs="Times New Roman"/>
        </w:rPr>
      </w:pPr>
      <w:r w:rsidRPr="005114B6">
        <w:rPr>
          <w:rStyle w:val="KitapBal"/>
          <w:rFonts w:ascii="Times New Roman" w:hAnsi="Times New Roman" w:cs="Times New Roman"/>
        </w:rPr>
        <w:t>I)Çok Düzeyli Yönetişimin Kavramsal Dayanağı</w:t>
      </w:r>
    </w:p>
    <w:p w:rsidR="00192C55" w:rsidRPr="00192C55" w:rsidRDefault="00AD123D" w:rsidP="00192C55">
      <w:pPr>
        <w:autoSpaceDE w:val="0"/>
        <w:autoSpaceDN w:val="0"/>
        <w:adjustRightInd w:val="0"/>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 xml:space="preserve">Çok düzeyli yönetişim kavramı Avrupalılaşma </w:t>
      </w:r>
      <w:r w:rsidR="00FD4F37">
        <w:rPr>
          <w:rFonts w:ascii="Times New Roman" w:eastAsia="Times New Roman" w:hAnsi="Times New Roman" w:cs="Times New Roman"/>
          <w:lang w:eastAsia="tr-TR"/>
        </w:rPr>
        <w:t>alan yazınında</w:t>
      </w:r>
      <w:r w:rsidRPr="0006798D">
        <w:rPr>
          <w:rFonts w:ascii="Times New Roman" w:eastAsia="Times New Roman" w:hAnsi="Times New Roman" w:cs="Times New Roman"/>
          <w:lang w:eastAsia="tr-TR"/>
        </w:rPr>
        <w:t xml:space="preserve"> kullanılmakta özellikle Avrupa Birliğinde politika yapım sürecinde ulus-altı politikaların önemine işaret etmektedir. Buna göre Avrupa Birliği’nin ilk dönemlerinde ulusal düzey ulus-üstü düzey şeklinde iki kademeli bir politik yapıdan bahsedilirken 1980 sonrası dönemde Avrupa, ulusal, ulus-altı şeklinde üç düzeyli; birbirleri arası etkileşim olduğu öne sürülen yeni bir politik forma işaret edilir. Ulus-altı düzeyinin varlığı kavramın sınırlı kullanımını önler. Ulusal, ulus-üstü şeklindeki geleneksel iki açılı okuma biçimi ise  “Bölgeler Avrupası” söylemine tepkiyi ortaya koyar.</w:t>
      </w:r>
      <w:r w:rsidR="00AF10E6">
        <w:rPr>
          <w:rFonts w:ascii="Times New Roman" w:eastAsia="Times New Roman" w:hAnsi="Times New Roman" w:cs="Times New Roman"/>
          <w:lang w:eastAsia="tr-TR"/>
        </w:rPr>
        <w:t xml:space="preserve"> Kavramın alan yazınında incelenmesi,  teorik, normatif ampirik düzeylerde yapılmaktadır. Teorik </w:t>
      </w:r>
      <w:r w:rsidR="00AF10E6">
        <w:rPr>
          <w:rFonts w:ascii="Times New Roman" w:eastAsia="Times New Roman" w:hAnsi="Times New Roman" w:cs="Times New Roman"/>
          <w:lang w:eastAsia="tr-TR"/>
        </w:rPr>
        <w:lastRenderedPageBreak/>
        <w:t xml:space="preserve">inceleme alanı Avrupa </w:t>
      </w:r>
      <w:r w:rsidR="00F53B5D">
        <w:rPr>
          <w:rFonts w:ascii="Times New Roman" w:eastAsia="Times New Roman" w:hAnsi="Times New Roman" w:cs="Times New Roman"/>
          <w:lang w:eastAsia="tr-TR"/>
        </w:rPr>
        <w:t>bütünleşme</w:t>
      </w:r>
      <w:r w:rsidR="00AF10E6">
        <w:rPr>
          <w:rFonts w:ascii="Times New Roman" w:eastAsia="Times New Roman" w:hAnsi="Times New Roman" w:cs="Times New Roman"/>
          <w:lang w:eastAsia="tr-TR"/>
        </w:rPr>
        <w:t xml:space="preserve"> teorilerinin ulus-üstü/ devlet-merkezli şeklindeki ikili ayrımına dayanarak iç politika-dış politika, merkez-çevre, devlet-toplum ayrımıyla ele alınır.</w:t>
      </w:r>
      <w:r w:rsidR="009B504F">
        <w:rPr>
          <w:rFonts w:ascii="Times New Roman" w:eastAsia="Times New Roman" w:hAnsi="Times New Roman" w:cs="Times New Roman"/>
          <w:lang w:eastAsia="tr-TR"/>
        </w:rPr>
        <w:t xml:space="preserve"> </w:t>
      </w:r>
      <w:r w:rsidR="00AF10E6">
        <w:rPr>
          <w:rFonts w:ascii="Times New Roman" w:eastAsia="Times New Roman" w:hAnsi="Times New Roman" w:cs="Times New Roman"/>
          <w:lang w:eastAsia="tr-TR"/>
        </w:rPr>
        <w:t>(Piattoni: 2010</w:t>
      </w:r>
      <w:r w:rsidR="009B504F">
        <w:rPr>
          <w:rFonts w:ascii="Times New Roman" w:eastAsia="Times New Roman" w:hAnsi="Times New Roman" w:cs="Times New Roman"/>
          <w:lang w:eastAsia="tr-TR"/>
        </w:rPr>
        <w:t xml:space="preserve">; </w:t>
      </w:r>
      <w:r w:rsidR="00AF10E6">
        <w:rPr>
          <w:rFonts w:ascii="Times New Roman" w:eastAsia="Times New Roman" w:hAnsi="Times New Roman" w:cs="Times New Roman"/>
          <w:lang w:eastAsia="tr-TR"/>
        </w:rPr>
        <w:t xml:space="preserve">2009). Ampirik </w:t>
      </w:r>
      <w:r w:rsidR="009B504F">
        <w:rPr>
          <w:rFonts w:ascii="Times New Roman" w:eastAsia="Times New Roman" w:hAnsi="Times New Roman" w:cs="Times New Roman"/>
          <w:lang w:eastAsia="tr-TR"/>
        </w:rPr>
        <w:t>açıdan örgüt</w:t>
      </w:r>
      <w:r w:rsidR="00AF10E6">
        <w:rPr>
          <w:rFonts w:ascii="Times New Roman" w:eastAsia="Times New Roman" w:hAnsi="Times New Roman" w:cs="Times New Roman"/>
          <w:lang w:eastAsia="tr-TR"/>
        </w:rPr>
        <w:t xml:space="preserve"> teorisi, demokrasi teorisi içerisinde de inceleme alanı olan kavram, ampirik düzeyde</w:t>
      </w:r>
      <w:r w:rsidR="00C31F49">
        <w:rPr>
          <w:rFonts w:ascii="Times New Roman" w:eastAsia="Times New Roman" w:hAnsi="Times New Roman" w:cs="Times New Roman"/>
          <w:lang w:eastAsia="tr-TR"/>
        </w:rPr>
        <w:t xml:space="preserve"> çevre politikası, eğitim politikası, yapısal politikalar, ortak tarım politikası gibi alanlarda ele alınmaktadır.</w:t>
      </w:r>
      <w:r w:rsidR="009B504F">
        <w:rPr>
          <w:rFonts w:ascii="Times New Roman" w:eastAsia="Times New Roman" w:hAnsi="Times New Roman" w:cs="Times New Roman"/>
          <w:lang w:eastAsia="tr-TR"/>
        </w:rPr>
        <w:t xml:space="preserve"> (</w:t>
      </w:r>
      <w:r w:rsidR="00192C55" w:rsidRPr="00192C55">
        <w:rPr>
          <w:rFonts w:ascii="Times New Roman" w:eastAsia="Times New Roman" w:hAnsi="Times New Roman" w:cs="Times New Roman"/>
          <w:lang w:eastAsia="tr-TR"/>
        </w:rPr>
        <w:t>Marks ve arkadaşları, 1993, 1996, 200</w:t>
      </w:r>
      <w:r w:rsidR="00192C55">
        <w:rPr>
          <w:rFonts w:ascii="Times New Roman" w:eastAsia="Times New Roman" w:hAnsi="Times New Roman" w:cs="Times New Roman"/>
          <w:lang w:eastAsia="tr-TR"/>
        </w:rPr>
        <w:t xml:space="preserve">1; </w:t>
      </w:r>
      <w:r w:rsidR="00192C55" w:rsidRPr="00192C55">
        <w:rPr>
          <w:rFonts w:ascii="Times New Roman" w:eastAsia="Times New Roman" w:hAnsi="Times New Roman" w:cs="Times New Roman"/>
          <w:lang w:eastAsia="tr-TR"/>
        </w:rPr>
        <w:t>Fairbrass and Jordan 2004</w:t>
      </w:r>
      <w:r w:rsidR="00192C55">
        <w:rPr>
          <w:rFonts w:ascii="Times New Roman" w:eastAsia="Times New Roman" w:hAnsi="Times New Roman" w:cs="Times New Roman"/>
          <w:lang w:eastAsia="tr-TR"/>
        </w:rPr>
        <w:t xml:space="preserve">; Bache, Flinders 2004) Normatif düzeyde ise örgüt teorisi, meşruiyet ve demokrasi teorisi içerisinde ele alınmıştır. (Keating,1998; </w:t>
      </w:r>
      <w:r w:rsidR="00192C55" w:rsidRPr="00192C55">
        <w:rPr>
          <w:rFonts w:ascii="Times New Roman" w:eastAsia="Times New Roman" w:hAnsi="Times New Roman" w:cs="Times New Roman"/>
          <w:lang w:eastAsia="tr-TR"/>
        </w:rPr>
        <w:t>Börzel 2010)</w:t>
      </w:r>
    </w:p>
    <w:p w:rsidR="00AD123D" w:rsidRDefault="00AD123D"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 xml:space="preserve">Bu noktada kavramın birçok disiplinin konusu olduğu yadsınamaz. </w:t>
      </w:r>
      <w:r w:rsidR="009B504F">
        <w:rPr>
          <w:rFonts w:ascii="Times New Roman" w:eastAsia="Times New Roman" w:hAnsi="Times New Roman" w:cs="Times New Roman"/>
          <w:lang w:eastAsia="tr-TR"/>
        </w:rPr>
        <w:t>Kavram alan yazınında</w:t>
      </w:r>
      <w:r w:rsidRPr="0006798D">
        <w:rPr>
          <w:rFonts w:ascii="Times New Roman" w:eastAsia="Times New Roman" w:hAnsi="Times New Roman" w:cs="Times New Roman"/>
          <w:lang w:eastAsia="tr-TR"/>
        </w:rPr>
        <w:t xml:space="preserve"> çoklu disiplin ve disiplinler arası bir eksende ele alınmış ve birçok alt-alanda açıklanmıştır. Kavramın bir diğer özelliği de teorik eksenin dışında komisyon</w:t>
      </w:r>
      <w:r w:rsidR="00693DA3">
        <w:rPr>
          <w:rFonts w:ascii="Times New Roman" w:eastAsia="Times New Roman" w:hAnsi="Times New Roman" w:cs="Times New Roman"/>
          <w:lang w:eastAsia="tr-TR"/>
        </w:rPr>
        <w:t xml:space="preserve"> </w:t>
      </w:r>
      <w:r w:rsidRPr="0006798D">
        <w:rPr>
          <w:rFonts w:ascii="Times New Roman" w:eastAsia="Times New Roman" w:hAnsi="Times New Roman" w:cs="Times New Roman"/>
          <w:lang w:eastAsia="tr-TR"/>
        </w:rPr>
        <w:t xml:space="preserve"> raporlarıyla tanımlanmış ve Avrupa yönetişimi temel ilkeleri belirlenmiş böylece uygulamalar için çerçeve metinlerin oluşturulmuş olmasıdır. </w:t>
      </w:r>
    </w:p>
    <w:p w:rsidR="0006798D" w:rsidRDefault="0006798D" w:rsidP="00AD123D">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I-A)Çok Düzeyli Yönetişimin Tanımı</w:t>
      </w:r>
    </w:p>
    <w:p w:rsidR="0006798D"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Çok düzeyli yönetişim kavramının tanımı nedir sorusuna bu noktada ulaşmaya çalışalım. Avrupa’da çok düzeyli yönetişim tartışmaları Avrupa Tek Senedi ile </w:t>
      </w:r>
      <w:r>
        <w:rPr>
          <w:rFonts w:ascii="Times New Roman" w:eastAsia="Calibri" w:hAnsi="Times New Roman" w:cs="Times New Roman"/>
          <w:sz w:val="22"/>
          <w:szCs w:val="22"/>
        </w:rPr>
        <w:t>ortaya çıkar.</w:t>
      </w:r>
      <w:r w:rsidRPr="003F69DA">
        <w:rPr>
          <w:rFonts w:ascii="Times New Roman" w:eastAsia="Calibri" w:hAnsi="Times New Roman" w:cs="Times New Roman"/>
          <w:sz w:val="22"/>
          <w:szCs w:val="22"/>
        </w:rPr>
        <w:t xml:space="preserve"> Yeni kurumsal mimaride devlet egemenliğinin erozyonu, otoritenin dağılması olarak görülür. Çok düzeyli yönetişim politikalarda, rejimde ve jeopolitik koşullardaki değişimleri belirleyen son kararı kimin verdiğinin tam olarak tanımlanmadığı düzeyler arası esnek güç paylaşımı olarak tanımlanır. </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Çok katmanlı otorite yapıları üzerinde yönetimlerin değişik birleşimlerinin işbirliğidir. İlişkiler birbirlerinin kaynakları üzerinde iki taraflı olarak karşılıklı bağımlıdır.</w:t>
      </w:r>
      <w:r w:rsidR="001707C8">
        <w:rPr>
          <w:rFonts w:ascii="Times New Roman" w:eastAsia="Calibri" w:hAnsi="Times New Roman" w:cs="Times New Roman"/>
          <w:sz w:val="22"/>
          <w:szCs w:val="22"/>
        </w:rPr>
        <w:t xml:space="preserve"> (Hooghe, Marks: 2003, s. 5)</w:t>
      </w:r>
      <w:r w:rsidRPr="003F69DA">
        <w:rPr>
          <w:rFonts w:ascii="Times New Roman" w:eastAsia="Calibri" w:hAnsi="Times New Roman" w:cs="Times New Roman"/>
          <w:sz w:val="22"/>
          <w:szCs w:val="22"/>
        </w:rPr>
        <w:t xml:space="preserve"> Kıt kaynaklar üzerinde karşılıklı bağımlı değildir. Çok düzeyli yönetişim güç paylaşımını belirler. AB, özel kamu aktörleri arasında farklı düzeylerde kural koyar fakat esas görevi merkezden kaynak tahsisi ya da kaynakların yeniden dağıtımı değildir. AB’nin işlevi sosyal politik risklerin yeniden düzenlenmesidir. Norm üretme sürecinde birliğin rolü; ortaklaşmanın sonucu olarak, yarışan ve çatışan çıkarları dengelemektir. Devletler “yumuşak hukuk” temelinde birbirleriyle müzakere ederler ve tartışırlar. Bu açıdan AB hiyerarşiye yaklaşır. Siyasal otorite hiyerarşik kurallar anlamında devlet modelindeki gibi merkezi değildir ya da anarşik düzen gibi adem-i merkezi değildir. Sistemdeki birimlerin egemenliklerinde, hiyerarşik ve sabit yönlüden; heterarşik yatay ve prosedürele doğru bir değişim söz konusudur.</w:t>
      </w:r>
      <w:r w:rsidR="001707C8">
        <w:rPr>
          <w:rFonts w:ascii="Times New Roman" w:eastAsia="Calibri" w:hAnsi="Times New Roman" w:cs="Times New Roman"/>
          <w:sz w:val="22"/>
          <w:szCs w:val="22"/>
        </w:rPr>
        <w:t xml:space="preserve"> (Eriksen: 2009, s. 160)</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lastRenderedPageBreak/>
        <w:t>Çok düzeyli yönetişim çoklu teritoryal düzeyde devletin otoriteryen karar alma yetkisinin dağılması olarak tanımlanır. Bu açıdan teorin</w:t>
      </w:r>
      <w:r w:rsidR="00FD4F37">
        <w:rPr>
          <w:rFonts w:ascii="Times New Roman" w:eastAsia="Calibri" w:hAnsi="Times New Roman" w:cs="Times New Roman"/>
          <w:sz w:val="22"/>
          <w:szCs w:val="22"/>
        </w:rPr>
        <w:t>in analiz düzeyi aktörlerdir. Alan yazınındaki</w:t>
      </w:r>
      <w:r w:rsidRPr="003F69DA">
        <w:rPr>
          <w:rFonts w:ascii="Times New Roman" w:eastAsia="Calibri" w:hAnsi="Times New Roman" w:cs="Times New Roman"/>
          <w:sz w:val="22"/>
          <w:szCs w:val="22"/>
        </w:rPr>
        <w:t xml:space="preserve"> çoğu çalışmanın kesiştiği nokta Avrupa </w:t>
      </w:r>
      <w:r w:rsidR="00F53B5D">
        <w:rPr>
          <w:rFonts w:ascii="Times New Roman" w:eastAsia="Calibri" w:hAnsi="Times New Roman" w:cs="Times New Roman"/>
          <w:sz w:val="22"/>
          <w:szCs w:val="22"/>
        </w:rPr>
        <w:t>bütünleşmesinin</w:t>
      </w:r>
      <w:r w:rsidRPr="003F69DA">
        <w:rPr>
          <w:rFonts w:ascii="Times New Roman" w:eastAsia="Calibri" w:hAnsi="Times New Roman" w:cs="Times New Roman"/>
          <w:sz w:val="22"/>
          <w:szCs w:val="22"/>
        </w:rPr>
        <w:t xml:space="preserve"> ulus devletleri tehdit ettiğidir. Bu yönüyle devlet merkezli yaklaşıma bir alternatif görüştür. Ancak ulus devletler “Avrupa Birliği bulmacasının en önemli parçası” olma özelliğini korur. Bu açıdan devlet merkezli anlayışa yaklaşır.</w:t>
      </w:r>
      <w:r w:rsidR="001707C8">
        <w:rPr>
          <w:rFonts w:ascii="Times New Roman" w:eastAsia="Calibri" w:hAnsi="Times New Roman" w:cs="Times New Roman"/>
          <w:sz w:val="22"/>
          <w:szCs w:val="22"/>
        </w:rPr>
        <w:t xml:space="preserve"> (Marks, Hooghe, Blank: 1996, s. 346) </w:t>
      </w:r>
    </w:p>
    <w:p w:rsidR="0006798D" w:rsidRPr="003F69DA" w:rsidRDefault="00F53B5D" w:rsidP="00AD123D">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Bütünleşme,</w:t>
      </w:r>
      <w:r w:rsidR="0006798D" w:rsidRPr="003F69DA">
        <w:rPr>
          <w:rFonts w:ascii="Times New Roman" w:eastAsia="Calibri" w:hAnsi="Times New Roman" w:cs="Times New Roman"/>
          <w:sz w:val="22"/>
          <w:szCs w:val="22"/>
        </w:rPr>
        <w:t xml:space="preserve"> bazı düzenleyici yetkileri kullanan üst otorite olarak, devlet dışında kurumsallaşmasına karşılık AB’nin meşruiyeti öncelikli olarak ulus devletlerden kaynaklanır. Demokrasi teorisi açısından AB meşruiyeti dolaylı bir meşruiyettir. Bu tarz meşruiyetin temeli; katı ulus-ötesi ağlar ve yönetim sistemlerinin koordinasyonunu sağlayan ulus-ötesi kurumsallaşma şeklinde belirlenen yasal kurumların özel hukuk tasarılarına dayanır. Buna paralel olarak AB son dönemlerde çok düzeyli çok merkezli yönetişim yapısını kullanır.  AB ulus-ötesi yapılarda kararlarının alınması ve uygulanmasında; ağlara, ortaklıklara ve özel aktörlere ayrılmıştır. Bu açıdan çok düzeyli takım AB’yi çoğulculukla şekillendiren, hiyerarşinin olmadığı, elit müzakerelerinin olduğu, ulus devletçiliğin azaldığı aynı zamanda siyasi tarafların ve parlamenter kuralların ve yürütme gücünün ulusal düzeyde azaldığı bir yapı olarak kendini gösterir.</w:t>
      </w:r>
      <w:r w:rsidR="001707C8">
        <w:rPr>
          <w:rFonts w:ascii="Times New Roman" w:eastAsia="Calibri" w:hAnsi="Times New Roman" w:cs="Times New Roman"/>
          <w:sz w:val="22"/>
          <w:szCs w:val="22"/>
        </w:rPr>
        <w:t xml:space="preserve"> (Eriksen: 2009, s. 159)</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Burada sorulması gereken önemli soru; bu yeni yönetişim modelinde devletin rolü nedir?</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Bu tanımlama biçiminde önemli olan hem kamu hem özel aktörler arası değişim ve işbirliğinin kurumsallaşmasıdır. Çok düzeyli yönetişim kurumlardan süreçlere doğru yayılır. Dolayısıyla farklı kurumsal düzeylerde çıkarların bütün sisteme yayıldığı bütünleşme süreci olarak yorumlanır. Çok düzeyli yönetişim sürecinde kurumlar kısmen önemlidir. Devlet kurumları ilişkilerini ulus-altı otoritelerle tanımlar aynı zamanda uluslararası yönetişim sürecinin de aktörleridir.   </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İkinci olarak; çok düzeyli yönetişim hem yatay hem dikey anlamda çeşitli kurumsal düzeyler arasında özel ilişki çeşitleridir. Buradaki temel nokta çok düzeyli yönetişimde; aktörler, alanlar ve kurumlar arasında hiyerarşi yoktur.</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“siyasal alanlar iç içe geçmekten ziyade karşılıklı ilişki halindedir…ulus- altı aktörler hem ulusal hem de ulus-altı alanlara müdahale eder ve süreçte ulus- ötesi bağlar kurar… Devletler iç ve birlik aktörleri arasında bağ kuran tekel güç olma özelliğini yitirir. Fakat hem içeride hem de Avrupa düzeyinde yarışan kararlar ve çatışan çıkarlar söz konusudur.”</w:t>
      </w:r>
      <w:r w:rsidR="001707C8">
        <w:rPr>
          <w:rFonts w:ascii="Times New Roman" w:eastAsia="Calibri" w:hAnsi="Times New Roman" w:cs="Times New Roman"/>
          <w:sz w:val="22"/>
          <w:szCs w:val="22"/>
        </w:rPr>
        <w:t xml:space="preserve"> (Hooghe: 1996, s. 92)</w:t>
      </w:r>
    </w:p>
    <w:p w:rsidR="0006798D" w:rsidRPr="0006798D" w:rsidRDefault="00FD4F37" w:rsidP="00AD123D">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Alan yazınında </w:t>
      </w:r>
      <w:r w:rsidR="0006798D" w:rsidRPr="0006798D">
        <w:rPr>
          <w:rFonts w:ascii="Times New Roman" w:eastAsia="Times New Roman" w:hAnsi="Times New Roman" w:cs="Times New Roman"/>
          <w:lang w:eastAsia="tr-TR"/>
        </w:rPr>
        <w:t xml:space="preserve">kavramın birçok tanımı yapılmaktadır. Gary Marks çok düzeyli yönetişimi, Devlet-merkezli yaklaşımın temel önermesine alternatif bir </w:t>
      </w:r>
      <w:r w:rsidR="0006798D" w:rsidRPr="0006798D">
        <w:rPr>
          <w:rFonts w:ascii="Times New Roman" w:eastAsia="Times New Roman" w:hAnsi="Times New Roman" w:cs="Times New Roman"/>
          <w:lang w:eastAsia="tr-TR"/>
        </w:rPr>
        <w:lastRenderedPageBreak/>
        <w:t xml:space="preserve">açıklama biçimi olarak tanımlar. Devlet-merkezli yaklaşıma göre </w:t>
      </w:r>
      <w:r w:rsidR="00F53B5D">
        <w:rPr>
          <w:rFonts w:ascii="Times New Roman" w:eastAsia="Times New Roman" w:hAnsi="Times New Roman" w:cs="Times New Roman"/>
          <w:lang w:eastAsia="tr-TR"/>
        </w:rPr>
        <w:t>bütünleşme</w:t>
      </w:r>
      <w:r w:rsidR="0006798D" w:rsidRPr="0006798D">
        <w:rPr>
          <w:rFonts w:ascii="Times New Roman" w:eastAsia="Times New Roman" w:hAnsi="Times New Roman" w:cs="Times New Roman"/>
          <w:lang w:eastAsia="tr-TR"/>
        </w:rPr>
        <w:t xml:space="preserve"> ulus devletlerin otoritesini azaltmaz aksine birliğin karar alma süreci üye devletler arasında yürütülen bir pazarlık sürecidir.  Üye devletler iradeleri doğrultusunda bu sürece katılır, ulus- üstü otoritenin ürettiği politikaların içsel çıkarlara yansıması sınırlıdır.  Çok düzeyli yönetişim ise politika yapma sürecinde politika yapma yetkisinin çok düzeyli yönetimler arasında paylaşılmasıdır.- ulus-altı, ulusal, ulus-üstü-  devletler karar alma sürecinin vazgeçilmez aktörleri olmakla birlikte ulus-üstü kurumlara doğru kontrol devri söz konusudur. Ulus devlet düzeyinde tam olarak aşınma olmasa da eskiye nispeten bir otorite kaybı söz konusudur. Kısaca devletin kolektif karar alma sürecinde konumu değişmiş; bu süreçte yetkilerini özerk birlik kurumlarıyla ve ulus- altı (bölgesel, yerel) aktörlerle paylaşmıştır.</w:t>
      </w:r>
      <w:r w:rsidR="001707C8" w:rsidRPr="001707C8">
        <w:rPr>
          <w:sz w:val="20"/>
          <w:szCs w:val="20"/>
        </w:rPr>
        <w:t xml:space="preserve"> </w:t>
      </w:r>
      <w:r w:rsidR="001707C8">
        <w:rPr>
          <w:rFonts w:ascii="Times New Roman" w:eastAsia="Calibri" w:hAnsi="Times New Roman" w:cs="Times New Roman"/>
        </w:rPr>
        <w:t>(Marks, Hooghe, Blank: 1996, s. 342-3)</w:t>
      </w:r>
    </w:p>
    <w:p w:rsidR="0006798D" w:rsidRPr="0006798D" w:rsidRDefault="0006798D" w:rsidP="00AD123D">
      <w:pPr>
        <w:spacing w:before="120" w:after="120" w:line="240" w:lineRule="auto"/>
        <w:jc w:val="both"/>
        <w:rPr>
          <w:rFonts w:ascii="Times New Roman" w:eastAsia="Times New Roman" w:hAnsi="Times New Roman" w:cs="Times New Roman"/>
          <w:lang w:eastAsia="tr-TR"/>
        </w:rPr>
      </w:pPr>
      <w:r w:rsidRPr="0006798D">
        <w:rPr>
          <w:rFonts w:ascii="Times New Roman" w:eastAsia="Times New Roman" w:hAnsi="Times New Roman" w:cs="Times New Roman"/>
          <w:lang w:eastAsia="tr-TR"/>
        </w:rPr>
        <w:t>Jachtenfuchs’a göre çok düzeyli yönetişim; “Ad-hoc” bağların kurulmasına dayanır. Çok düzeyli yönetişim; meşru, müzakereci, kurumsal yapılar ile kamu, özel, birey ve sivil toplum kuruluşu aktörler arasındaki müzakere sürecidir. Hem kararların alınması hem uygulanması hem de uyuşmazlıkların çözümü bu süreci anlatır.</w:t>
      </w:r>
      <w:r w:rsidR="001707C8">
        <w:rPr>
          <w:rFonts w:ascii="Times New Roman" w:eastAsia="Times New Roman" w:hAnsi="Times New Roman" w:cs="Times New Roman"/>
          <w:lang w:eastAsia="tr-TR"/>
        </w:rPr>
        <w:t xml:space="preserve"> (Piattoni: 2010, s. 20)</w:t>
      </w:r>
      <w:r w:rsidRPr="0006798D">
        <w:rPr>
          <w:rFonts w:ascii="Times New Roman" w:eastAsia="Times New Roman" w:hAnsi="Times New Roman" w:cs="Times New Roman"/>
          <w:lang w:eastAsia="tr-TR"/>
        </w:rPr>
        <w:t xml:space="preserve"> </w:t>
      </w:r>
    </w:p>
    <w:p w:rsidR="0006798D" w:rsidRPr="00625C18" w:rsidRDefault="00192C55" w:rsidP="00AD123D">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Beyaz Kitaba göre; </w:t>
      </w:r>
      <w:r w:rsidR="0006798D" w:rsidRPr="0006798D">
        <w:rPr>
          <w:rFonts w:ascii="Times New Roman" w:eastAsia="Times New Roman" w:hAnsi="Times New Roman" w:cs="Times New Roman"/>
          <w:lang w:eastAsia="tr-TR"/>
        </w:rPr>
        <w:t>Komisyon Avrupa Birliği düzeyinde politika üretirken bölgesel ve yerelin bilgisini ve koşullarını dikkate alarak hareket etmelidir. Bu amaçla ulusal, yerel ve bölgesel yönetim birlikleri ile Avrupa Birliği kurumları arasında diyalog oluşturulmalıdır. Ayrıca ulusal anayasalar ile idari yönetmelikler de bu süreçte dikkate alınmalıdır ve Bölgeler Komitesiyle işbirliği yapılmalıdır. Bu iş birliği ulus- üstünden ulus-altına kademeli şekilde değil het</w:t>
      </w:r>
      <w:r w:rsidR="00625C18">
        <w:rPr>
          <w:rFonts w:ascii="Times New Roman" w:eastAsia="Times New Roman" w:hAnsi="Times New Roman" w:cs="Times New Roman"/>
          <w:lang w:eastAsia="tr-TR"/>
        </w:rPr>
        <w:t>erarşik şekilde kurgulanmalıdır</w:t>
      </w:r>
      <w:r w:rsidR="00625C18" w:rsidRPr="00625C18">
        <w:rPr>
          <w:rFonts w:ascii="Times New Roman" w:eastAsia="Times New Roman" w:hAnsi="Times New Roman" w:cs="Times New Roman"/>
          <w:lang w:eastAsia="tr-TR"/>
        </w:rPr>
        <w:t>. (White Paper on E</w:t>
      </w:r>
      <w:r w:rsidR="00625C18">
        <w:rPr>
          <w:rFonts w:ascii="Times New Roman" w:eastAsia="Times New Roman" w:hAnsi="Times New Roman" w:cs="Times New Roman"/>
          <w:lang w:eastAsia="tr-TR"/>
        </w:rPr>
        <w:t>U</w:t>
      </w:r>
      <w:r w:rsidR="00625C18" w:rsidRPr="00625C18">
        <w:rPr>
          <w:rFonts w:ascii="Times New Roman" w:eastAsia="Times New Roman" w:hAnsi="Times New Roman" w:cs="Times New Roman"/>
          <w:lang w:eastAsia="tr-TR"/>
        </w:rPr>
        <w:t xml:space="preserve"> Governance: 2004)</w:t>
      </w:r>
    </w:p>
    <w:p w:rsidR="0006798D" w:rsidRDefault="0006798D" w:rsidP="00AD123D">
      <w:pPr>
        <w:spacing w:before="120" w:after="120" w:line="240" w:lineRule="auto"/>
        <w:jc w:val="both"/>
        <w:rPr>
          <w:rFonts w:ascii="Times New Roman" w:eastAsia="Times New Roman" w:hAnsi="Times New Roman" w:cs="Times New Roman"/>
          <w:b/>
          <w:lang w:eastAsia="tr-TR"/>
        </w:rPr>
      </w:pPr>
      <w:r w:rsidRPr="0006798D">
        <w:rPr>
          <w:rFonts w:ascii="Times New Roman" w:eastAsia="Times New Roman" w:hAnsi="Times New Roman" w:cs="Times New Roman"/>
          <w:lang w:eastAsia="tr-TR"/>
        </w:rPr>
        <w:t>Bu tanımların tamamının ortak keseni: çok düzeyli yönetişim kararların alınması sürecinde sadece ulus devletin değil ulus-altı çıkarların da bu sürece yansıtıldığı; bireyler, sivil toplum kuruluşları, devlet ve ulus-üstü çıkar gruplarının karar alıcılar olarak sisteme dahil olduğu yatay bir adem-i merkezileşmeyi ki yönetişim teorisinin katılım anlayışı ve Avrupa yönetişimi bu noktada çakışmaktadır. Buna ek olarak yetki ve kontrol noktasında; ulus-üstü, ulusal, yerel ve bölgesel yönetsel yapılar arasında hiyerarşik bir ilişki kurmayarak dikey adem-i merkezileşmeye yol açmaktadır. Yönetişim teorisiyle arasındaki en önemli fark budur.</w:t>
      </w:r>
    </w:p>
    <w:p w:rsidR="00AD123D" w:rsidRDefault="00AD123D" w:rsidP="00AD123D">
      <w:pPr>
        <w:spacing w:before="120" w:after="120" w:line="240" w:lineRule="auto"/>
        <w:jc w:val="both"/>
        <w:rPr>
          <w:rFonts w:ascii="Times New Roman" w:eastAsia="Times New Roman" w:hAnsi="Times New Roman" w:cs="Times New Roman"/>
          <w:b/>
          <w:lang w:eastAsia="tr-TR"/>
        </w:rPr>
      </w:pPr>
    </w:p>
    <w:p w:rsidR="0006798D" w:rsidRDefault="0006798D" w:rsidP="00AD123D">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I-B) Kavram Olarak Çok Düzeyli Yönetişimin Karakteristiği</w:t>
      </w:r>
    </w:p>
    <w:p w:rsidR="0006798D" w:rsidRPr="003F69DA" w:rsidRDefault="0006798D" w:rsidP="00AD123D">
      <w:pPr>
        <w:pStyle w:val="NormalWeb"/>
        <w:spacing w:before="120" w:beforeAutospacing="0" w:after="120" w:afterAutospacing="0"/>
        <w:jc w:val="both"/>
        <w:rPr>
          <w:rFonts w:ascii="Times New Roman" w:hAnsi="Times New Roman" w:cs="Times New Roman"/>
          <w:sz w:val="22"/>
          <w:szCs w:val="22"/>
        </w:rPr>
      </w:pPr>
      <w:r w:rsidRPr="003F69DA">
        <w:rPr>
          <w:rFonts w:ascii="Times New Roman" w:eastAsia="Calibri" w:hAnsi="Times New Roman" w:cs="Times New Roman"/>
          <w:sz w:val="22"/>
          <w:szCs w:val="22"/>
        </w:rPr>
        <w:t xml:space="preserve">Marks erken dönem çalışmalarında çok düzeyli yönetişimi; iç içe yönetimler </w:t>
      </w:r>
      <w:r w:rsidRPr="003F69DA">
        <w:rPr>
          <w:rFonts w:ascii="Times New Roman" w:hAnsi="Times New Roman" w:cs="Times New Roman"/>
          <w:sz w:val="22"/>
          <w:szCs w:val="22"/>
        </w:rPr>
        <w:t xml:space="preserve">arasında –ulus-üstü, ulusal, bölgesel, yerel kurumsal varlığın ve kararların </w:t>
      </w:r>
      <w:r w:rsidRPr="003F69DA">
        <w:rPr>
          <w:rFonts w:ascii="Times New Roman" w:hAnsi="Times New Roman" w:cs="Times New Roman"/>
          <w:sz w:val="22"/>
          <w:szCs w:val="22"/>
        </w:rPr>
        <w:lastRenderedPageBreak/>
        <w:t>yeniden tesisinin bir sonucu olarak sürekli devam eden bir müzakere sistemi olarak tanımlar.</w:t>
      </w:r>
      <w:r w:rsidR="00625C18">
        <w:rPr>
          <w:rFonts w:ascii="Times New Roman" w:hAnsi="Times New Roman" w:cs="Times New Roman"/>
          <w:sz w:val="22"/>
          <w:szCs w:val="22"/>
        </w:rPr>
        <w:t xml:space="preserve"> (Marks: 1993, s. 392)</w:t>
      </w:r>
    </w:p>
    <w:p w:rsidR="0006798D" w:rsidRPr="003F69DA" w:rsidRDefault="0006798D" w:rsidP="00AD123D">
      <w:pPr>
        <w:spacing w:before="120" w:after="120" w:line="240" w:lineRule="auto"/>
        <w:jc w:val="both"/>
        <w:rPr>
          <w:rFonts w:ascii="Times New Roman" w:hAnsi="Times New Roman" w:cs="Times New Roman"/>
        </w:rPr>
      </w:pPr>
      <w:r w:rsidRPr="003F69DA">
        <w:rPr>
          <w:rFonts w:ascii="Times New Roman" w:hAnsi="Times New Roman" w:cs="Times New Roman"/>
        </w:rPr>
        <w:t>Çalışmalarının ileriki aşamalarında iç politika analizlerinde özellikle politika ağları yaklaşımı geliştirir. Politika ağlarıyla çok düzeyli yönetişim ulus-üstü, ulusal, bölgesel, yerel yönetimlere nasıl uygulanacağı sorusunu yanıtlar.</w:t>
      </w:r>
    </w:p>
    <w:p w:rsidR="0006798D" w:rsidRPr="003F69DA" w:rsidRDefault="0006798D" w:rsidP="00AD123D">
      <w:pPr>
        <w:spacing w:before="120" w:after="120" w:line="240" w:lineRule="auto"/>
        <w:jc w:val="both"/>
        <w:rPr>
          <w:rFonts w:ascii="Times New Roman" w:hAnsi="Times New Roman" w:cs="Times New Roman"/>
        </w:rPr>
      </w:pPr>
      <w:r w:rsidRPr="003F69DA">
        <w:rPr>
          <w:rFonts w:ascii="Times New Roman" w:hAnsi="Times New Roman" w:cs="Times New Roman"/>
        </w:rPr>
        <w:t>“Ortak çözümleri gerektiren genel çözümler; ağların, ajansların ve komitelerin ortak problem çözümüne katılımı ile mümkündür. Siyasal otorite eylemi ise tamamıyla ayrı değildir; devlet ve devlet dışı aktörler arasındaki ilişki hiyerarşik olmayan tek bir noktada toplanan otorite şeklinde değildir, ancak devlet egemenliğine saygılıdır.”</w:t>
      </w:r>
      <w:r w:rsidR="00625C18">
        <w:rPr>
          <w:rFonts w:ascii="Times New Roman" w:hAnsi="Times New Roman" w:cs="Times New Roman"/>
        </w:rPr>
        <w:t xml:space="preserve"> (Marks: 1993, s. 402)</w:t>
      </w:r>
    </w:p>
    <w:p w:rsidR="0006798D" w:rsidRPr="003F69DA" w:rsidRDefault="0006798D" w:rsidP="00AD123D">
      <w:pPr>
        <w:spacing w:before="120" w:after="120" w:line="240" w:lineRule="auto"/>
        <w:jc w:val="both"/>
        <w:rPr>
          <w:rFonts w:ascii="Times New Roman" w:hAnsi="Times New Roman" w:cs="Times New Roman"/>
        </w:rPr>
      </w:pPr>
      <w:r w:rsidRPr="003F69DA">
        <w:rPr>
          <w:rFonts w:ascii="Times New Roman" w:hAnsi="Times New Roman" w:cs="Times New Roman"/>
        </w:rPr>
        <w:t>Böylece çok düzeyli yönetişim hem dikey hem de yatay bir boyut kazanır. AB kurumları, ulusal yönetimler ve ulus-altı yönetimler arasında dikey; hükümet dışı örgütler, yerel ve bölgesel aktörler arasında yatay karşılıklı bağımlılığın varlığına işaret eder.</w:t>
      </w:r>
      <w:r w:rsidR="00625C18">
        <w:rPr>
          <w:rFonts w:ascii="Times New Roman" w:hAnsi="Times New Roman" w:cs="Times New Roman"/>
        </w:rPr>
        <w:t xml:space="preserve"> (Bache, Flinder: 2004, s. 3)</w:t>
      </w:r>
    </w:p>
    <w:p w:rsidR="0006798D" w:rsidRPr="00625C18" w:rsidRDefault="0006798D" w:rsidP="00AD123D">
      <w:pPr>
        <w:spacing w:before="120" w:after="120" w:line="240" w:lineRule="auto"/>
        <w:jc w:val="both"/>
        <w:rPr>
          <w:rFonts w:ascii="Times New Roman" w:hAnsi="Times New Roman" w:cs="Times New Roman"/>
        </w:rPr>
      </w:pPr>
      <w:r w:rsidRPr="003F69DA">
        <w:rPr>
          <w:rFonts w:ascii="Times New Roman" w:hAnsi="Times New Roman" w:cs="Times New Roman"/>
        </w:rPr>
        <w:t>Hooghe ve Marks’ın çalışmalarında çok düzeyli yönetişim modelinin en di</w:t>
      </w:r>
      <w:r w:rsidR="00625C18">
        <w:rPr>
          <w:rFonts w:ascii="Times New Roman" w:hAnsi="Times New Roman" w:cs="Times New Roman"/>
        </w:rPr>
        <w:t xml:space="preserve">kkat çekici ilkeleri şunlardır: </w:t>
      </w:r>
      <w:r w:rsidR="00625C18" w:rsidRPr="00625C18">
        <w:rPr>
          <w:rFonts w:ascii="Times New Roman" w:hAnsi="Times New Roman" w:cs="Times New Roman"/>
        </w:rPr>
        <w:t>(Marks,</w:t>
      </w:r>
      <w:r w:rsidR="00625C18" w:rsidRPr="00625C18">
        <w:rPr>
          <w:rFonts w:ascii="Times New Roman" w:eastAsia="Calibri" w:hAnsi="Times New Roman" w:cs="Times New Roman"/>
        </w:rPr>
        <w:t xml:space="preserve"> Hooghe, Blank, 1996, s. 346-7)</w:t>
      </w:r>
    </w:p>
    <w:p w:rsidR="0006798D" w:rsidRPr="003F69DA" w:rsidRDefault="0006798D" w:rsidP="00AD123D">
      <w:pPr>
        <w:numPr>
          <w:ilvl w:val="0"/>
          <w:numId w:val="4"/>
        </w:numPr>
        <w:autoSpaceDN w:val="0"/>
        <w:spacing w:before="120" w:after="120" w:line="240" w:lineRule="auto"/>
        <w:ind w:left="0"/>
        <w:jc w:val="both"/>
        <w:rPr>
          <w:rFonts w:ascii="Times New Roman" w:hAnsi="Times New Roman" w:cs="Times New Roman"/>
        </w:rPr>
      </w:pPr>
      <w:r w:rsidRPr="003F69DA">
        <w:rPr>
          <w:rFonts w:ascii="Times New Roman" w:hAnsi="Times New Roman" w:cs="Times New Roman"/>
        </w:rPr>
        <w:t>Karar alma yetkileri devlet otoritesinden ziyade; farklı düzeydeki aktörler arasında paylaştırılmıştır. Böylece ulus devletler politika yapımı, karar alma yetkilerini farklı mekansal ölçekte örgütlenmiş, karar alma süreçlerinde çeşitli aktörlerle bir taraftan yetki paylaşımı diğer taraftan yetki çatışması ortaya çıkmıştır. Böylece, devletin güç kullanma tekeli yıkılmıştır.</w:t>
      </w:r>
    </w:p>
    <w:p w:rsidR="0006798D" w:rsidRPr="003F69DA" w:rsidRDefault="0006798D" w:rsidP="00AD123D">
      <w:pPr>
        <w:numPr>
          <w:ilvl w:val="0"/>
          <w:numId w:val="4"/>
        </w:numPr>
        <w:autoSpaceDN w:val="0"/>
        <w:spacing w:before="120" w:after="120" w:line="240" w:lineRule="auto"/>
        <w:ind w:left="0"/>
        <w:jc w:val="both"/>
        <w:rPr>
          <w:rFonts w:ascii="Times New Roman" w:hAnsi="Times New Roman" w:cs="Times New Roman"/>
        </w:rPr>
      </w:pPr>
      <w:r w:rsidRPr="003F69DA">
        <w:rPr>
          <w:rFonts w:ascii="Times New Roman" w:hAnsi="Times New Roman" w:cs="Times New Roman"/>
        </w:rPr>
        <w:t>Ulus-üstü ölçekte, devletlerarasında kolektif</w:t>
      </w:r>
      <w:r w:rsidR="00B90ED8">
        <w:rPr>
          <w:rFonts w:ascii="Times New Roman" w:hAnsi="Times New Roman" w:cs="Times New Roman"/>
        </w:rPr>
        <w:t xml:space="preserve"> karar almayı içeren yapı,</w:t>
      </w:r>
      <w:r w:rsidRPr="003F69DA">
        <w:rPr>
          <w:rFonts w:ascii="Times New Roman" w:hAnsi="Times New Roman" w:cs="Times New Roman"/>
        </w:rPr>
        <w:t xml:space="preserve"> devletlerin yürütmede</w:t>
      </w:r>
      <w:r w:rsidR="00B90ED8">
        <w:rPr>
          <w:rFonts w:ascii="Times New Roman" w:hAnsi="Times New Roman" w:cs="Times New Roman"/>
        </w:rPr>
        <w:t xml:space="preserve"> tekil güç olarak</w:t>
      </w:r>
      <w:r w:rsidRPr="003F69DA">
        <w:rPr>
          <w:rFonts w:ascii="Times New Roman" w:hAnsi="Times New Roman" w:cs="Times New Roman"/>
        </w:rPr>
        <w:t xml:space="preserve"> kontrol kaybını içerir.  (Özellikle konseyde nitelikli çoğunluk oylaması aracılığı ile) Avrupa Birliğine üye devletlerin kolektif karar alma mekanizması, tekil olarak devletlerin kararlar üzerinde önemli güç kaybına yol açar.</w:t>
      </w:r>
    </w:p>
    <w:p w:rsidR="0006798D" w:rsidRPr="003F69DA" w:rsidRDefault="0006798D" w:rsidP="00AD123D">
      <w:pPr>
        <w:numPr>
          <w:ilvl w:val="0"/>
          <w:numId w:val="4"/>
        </w:numPr>
        <w:autoSpaceDN w:val="0"/>
        <w:spacing w:before="120" w:after="120" w:line="240" w:lineRule="auto"/>
        <w:ind w:left="0"/>
        <w:jc w:val="both"/>
        <w:rPr>
          <w:rFonts w:ascii="Times New Roman" w:hAnsi="Times New Roman" w:cs="Times New Roman"/>
        </w:rPr>
      </w:pPr>
      <w:r w:rsidRPr="003F69DA">
        <w:rPr>
          <w:rFonts w:ascii="Times New Roman" w:hAnsi="Times New Roman" w:cs="Times New Roman"/>
        </w:rPr>
        <w:t>Siyasal alanlar iç içe geçmiş değil, karşılıklı bağımlıdır; iletişim halindedir. Bu süreçte ulus-altı aktörler hem ulusal hem de ulus-üstü alanlara müdahale eder, ulus-ötesi birlikler kurarlar.</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Çok düzeyli yönetişimin türlerine bakacak olursak Liesbet Hooghe ve Gary Marks çok düzeyli yönetişimin iki farklı türünü tanımlarlar. Birinci tip çok düzeyli yönetişimde sınırlı sayıda ve düzeyde yasama yetkisinin dağıldığı genel yetkili yargı yerleri bulunur. –uluslararası, ulusal, bölgesel ve yerel- Bu yapı, yargı ve temsil kurumlarının çoklu işlevleri ve siyasal sorumluluklarını destekler niteliktedir. Her vatandaş; farklı düzeyde tek bir mekansal alanda tek bir yargı yerinin kurumsallaştığı ve yetkileri iç içe geçmiş kurumlara bağlıdır. Bu tipte federal yapı tanımlanmaktadır. Şöyle ki gücün çeşitli yönetim kademeleri arasında dağıldığı ve dolayısıyla analiz birimlerinin tekil olarak </w:t>
      </w:r>
      <w:r w:rsidRPr="003F69DA">
        <w:rPr>
          <w:rFonts w:ascii="Times New Roman" w:eastAsia="Calibri" w:hAnsi="Times New Roman" w:cs="Times New Roman"/>
          <w:sz w:val="22"/>
          <w:szCs w:val="22"/>
        </w:rPr>
        <w:lastRenderedPageBreak/>
        <w:t>politika alanlarını etkilemesinden ziyade yönetim birimlerinin belirleyici olduğu bir kurguya işaret eder.</w:t>
      </w:r>
      <w:r w:rsidR="00625C18">
        <w:rPr>
          <w:rFonts w:ascii="Times New Roman" w:eastAsia="Calibri" w:hAnsi="Times New Roman" w:cs="Times New Roman"/>
          <w:sz w:val="22"/>
          <w:szCs w:val="22"/>
        </w:rPr>
        <w:t xml:space="preserve"> (Hooghe, Marks: 2001, s. 5-6)</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Otoritenin ve politika yapımının çok düzeyde örgütlenen yapılar arasında paylaşıldığı bir politik form olarak çok düzeyli yönetişim, yönetişimin yeniden örgütlenmesi olarak AB çalışmalarında yer alır.  AB’de karar alma sürecine katılımın artmasıyla birlikte ulus devletlerin tekel kontrol yetkisi büyük oranda azalmıştır. Buna karşılık topluluk yine de ulusal yönetimlere kilit rol verir, hatta bazı politika alanlarında ulus-altı yönetimlerinde etkisi bulunur.  </w:t>
      </w:r>
    </w:p>
    <w:p w:rsidR="0006798D" w:rsidRPr="003F69DA"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Çok düzeyli yönetişimin ikinci türünde özel yetkili mahkemelerden oluşan ayrı üyeliğin bulunmadığı, sınırsız sayıda yargı yerinin olmadığı esnek yapılı bir görünüm sunar. Ulus-altı yönetimler düzeyinde tanımlanan istisnai bir yargılama yetkisinden söz eder. Örneğin belli bir yerel hizmetin görülmesinden kaynaklanan bir sorunun çözümünde -üretim standardının belirlenmesi suyun niteliğinin belirlenmesi ya da uluslararası ticaret sorunlarının düzenlenmesi gibi- birçok hususun incelenmesi çok düzeyli yönetişimin bu ikinci tipine dayanır.</w:t>
      </w:r>
      <w:r w:rsidR="00625C18">
        <w:rPr>
          <w:rFonts w:ascii="Times New Roman" w:eastAsia="Calibri" w:hAnsi="Times New Roman" w:cs="Times New Roman"/>
          <w:sz w:val="22"/>
          <w:szCs w:val="22"/>
        </w:rPr>
        <w:t xml:space="preserve"> (Hooghe, Marks: 2001, s. 5-6)</w:t>
      </w:r>
    </w:p>
    <w:p w:rsidR="0003674E" w:rsidRDefault="0003674E" w:rsidP="00AD123D">
      <w:pPr>
        <w:spacing w:before="120" w:after="120" w:line="240" w:lineRule="auto"/>
        <w:jc w:val="both"/>
        <w:rPr>
          <w:rStyle w:val="KitapBal"/>
          <w:rFonts w:ascii="Times New Roman" w:hAnsi="Times New Roman" w:cs="Times New Roman"/>
        </w:rPr>
      </w:pPr>
    </w:p>
    <w:p w:rsidR="00924B1D" w:rsidRDefault="005114B6" w:rsidP="00AD123D">
      <w:pPr>
        <w:spacing w:before="120" w:after="120" w:line="240" w:lineRule="auto"/>
        <w:jc w:val="both"/>
        <w:rPr>
          <w:rStyle w:val="KitapBal"/>
          <w:rFonts w:ascii="Times New Roman" w:hAnsi="Times New Roman" w:cs="Times New Roman"/>
        </w:rPr>
      </w:pPr>
      <w:r w:rsidRPr="005114B6">
        <w:rPr>
          <w:rStyle w:val="KitapBal"/>
          <w:rFonts w:ascii="Times New Roman" w:hAnsi="Times New Roman" w:cs="Times New Roman"/>
        </w:rPr>
        <w:t>II</w:t>
      </w:r>
      <w:r w:rsidR="00924B1D" w:rsidRPr="005114B6">
        <w:rPr>
          <w:rStyle w:val="KitapBal"/>
          <w:rFonts w:ascii="Times New Roman" w:hAnsi="Times New Roman" w:cs="Times New Roman"/>
        </w:rPr>
        <w:t xml:space="preserve">) </w:t>
      </w:r>
      <w:r w:rsidR="009A0703" w:rsidRPr="005114B6">
        <w:rPr>
          <w:rStyle w:val="KitapBal"/>
          <w:rFonts w:ascii="Times New Roman" w:hAnsi="Times New Roman" w:cs="Times New Roman"/>
        </w:rPr>
        <w:t>Çok Düzeyli</w:t>
      </w:r>
      <w:r w:rsidR="00924B1D" w:rsidRPr="005114B6">
        <w:rPr>
          <w:rStyle w:val="KitapBal"/>
          <w:rFonts w:ascii="Times New Roman" w:hAnsi="Times New Roman" w:cs="Times New Roman"/>
        </w:rPr>
        <w:t xml:space="preserve"> Yönetişime Yöneltilen Teorik Eleştiriler</w:t>
      </w:r>
    </w:p>
    <w:p w:rsidR="0006798D" w:rsidRPr="003F69DA" w:rsidRDefault="0006798D" w:rsidP="00B90ED8">
      <w:pPr>
        <w:pStyle w:val="NormalWeb"/>
        <w:spacing w:before="120" w:beforeAutospacing="0" w:after="120" w:afterAutospacing="0"/>
        <w:jc w:val="both"/>
        <w:rPr>
          <w:rFonts w:ascii="Times New Roman" w:eastAsia="Calibri" w:hAnsi="Times New Roman" w:cs="Times New Roman"/>
        </w:rPr>
      </w:pPr>
      <w:r w:rsidRPr="003F69DA">
        <w:rPr>
          <w:rFonts w:ascii="Times New Roman" w:eastAsia="Calibri" w:hAnsi="Times New Roman" w:cs="Times New Roman"/>
          <w:sz w:val="22"/>
          <w:szCs w:val="22"/>
        </w:rPr>
        <w:t>Çok düzeyli yönetişim kavramının eleştirisini; Jordan</w:t>
      </w:r>
      <w:r w:rsidR="00625C18" w:rsidRPr="00625C18">
        <w:rPr>
          <w:rFonts w:ascii="Times New Roman" w:eastAsia="Calibri" w:hAnsi="Times New Roman" w:cs="Times New Roman"/>
          <w:sz w:val="22"/>
          <w:szCs w:val="22"/>
          <w:vertAlign w:val="superscript"/>
        </w:rPr>
        <w:t>[1]</w:t>
      </w:r>
      <w:r w:rsidRPr="003F69DA">
        <w:rPr>
          <w:rFonts w:ascii="Times New Roman" w:eastAsia="Calibri" w:hAnsi="Times New Roman" w:cs="Times New Roman"/>
          <w:sz w:val="22"/>
          <w:szCs w:val="22"/>
        </w:rPr>
        <w:t xml:space="preserve"> ve Jeffery</w:t>
      </w:r>
      <w:r w:rsidR="00625C18" w:rsidRPr="00625C18">
        <w:rPr>
          <w:rFonts w:ascii="Times New Roman" w:eastAsia="Calibri" w:hAnsi="Times New Roman" w:cs="Times New Roman"/>
          <w:sz w:val="22"/>
          <w:szCs w:val="22"/>
          <w:vertAlign w:val="superscript"/>
        </w:rPr>
        <w:t>[2]</w:t>
      </w:r>
      <w:r w:rsidRPr="003F69DA">
        <w:rPr>
          <w:rFonts w:ascii="Times New Roman" w:eastAsia="Calibri" w:hAnsi="Times New Roman" w:cs="Times New Roman"/>
          <w:sz w:val="22"/>
          <w:szCs w:val="22"/>
        </w:rPr>
        <w:t>’nin çalışmalarında görm</w:t>
      </w:r>
      <w:r w:rsidR="00B90ED8">
        <w:rPr>
          <w:rFonts w:ascii="Times New Roman" w:eastAsia="Calibri" w:hAnsi="Times New Roman" w:cs="Times New Roman"/>
          <w:sz w:val="22"/>
          <w:szCs w:val="22"/>
        </w:rPr>
        <w:t>ekteyiz</w:t>
      </w:r>
      <w:r w:rsidRPr="003F69DA">
        <w:rPr>
          <w:rFonts w:ascii="Times New Roman" w:eastAsia="Calibri" w:hAnsi="Times New Roman" w:cs="Times New Roman"/>
          <w:sz w:val="22"/>
          <w:szCs w:val="22"/>
        </w:rPr>
        <w:t>.</w:t>
      </w:r>
      <w:r w:rsidR="00B90ED8">
        <w:rPr>
          <w:rFonts w:ascii="Times New Roman" w:eastAsia="Calibri" w:hAnsi="Times New Roman" w:cs="Times New Roman"/>
          <w:sz w:val="22"/>
          <w:szCs w:val="22"/>
        </w:rPr>
        <w:t xml:space="preserve"> </w:t>
      </w:r>
      <w:r w:rsidRPr="003F69DA">
        <w:rPr>
          <w:rFonts w:ascii="Times New Roman" w:eastAsia="Calibri" w:hAnsi="Times New Roman" w:cs="Times New Roman"/>
        </w:rPr>
        <w:t>Bu noktada yukarıdaki belirtilen çalışmalara dayanarak eleştirileri kısaca açıklayalım.</w:t>
      </w:r>
    </w:p>
    <w:p w:rsidR="009B504F" w:rsidRDefault="009B504F" w:rsidP="00AD123D">
      <w:pPr>
        <w:spacing w:before="120" w:after="120" w:line="240" w:lineRule="auto"/>
        <w:jc w:val="both"/>
        <w:rPr>
          <w:rFonts w:ascii="Times New Roman" w:eastAsia="Times New Roman" w:hAnsi="Times New Roman" w:cs="Times New Roman"/>
          <w:b/>
          <w:lang w:eastAsia="tr-TR"/>
        </w:rPr>
      </w:pPr>
    </w:p>
    <w:p w:rsidR="00924B1D" w:rsidRDefault="00924B1D" w:rsidP="00AD123D">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II-A) &lt;&lt;</w:t>
      </w:r>
      <w:r w:rsidRPr="00924B1D">
        <w:rPr>
          <w:rFonts w:ascii="Times New Roman" w:eastAsia="Times New Roman" w:hAnsi="Times New Roman" w:cs="Times New Roman"/>
          <w:b/>
          <w:lang w:eastAsia="tr-TR"/>
        </w:rPr>
        <w:t>Çok Düzeyli Yönetişim Bir teori Değildir: Önceki Teorilerin Birleştirilmesiyle Oluşturulmuş “Eklektik” Bir S</w:t>
      </w:r>
      <w:r>
        <w:rPr>
          <w:rFonts w:ascii="Times New Roman" w:eastAsia="Times New Roman" w:hAnsi="Times New Roman" w:cs="Times New Roman"/>
          <w:b/>
          <w:lang w:eastAsia="tr-TR"/>
        </w:rPr>
        <w:t>entezdir&gt;&gt;</w:t>
      </w:r>
    </w:p>
    <w:p w:rsidR="00192C55" w:rsidRDefault="00192C55" w:rsidP="00192C55">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Çok düzeyli yönetişim kavramının teorik düzeyde incele</w:t>
      </w:r>
      <w:r w:rsidR="00F53B5D">
        <w:rPr>
          <w:rFonts w:ascii="Times New Roman" w:eastAsia="Times New Roman" w:hAnsi="Times New Roman" w:cs="Times New Roman"/>
          <w:lang w:eastAsia="tr-TR"/>
        </w:rPr>
        <w:t>mesi, Avrupa Birliği bütünleşme</w:t>
      </w:r>
      <w:r>
        <w:rPr>
          <w:rFonts w:ascii="Times New Roman" w:eastAsia="Times New Roman" w:hAnsi="Times New Roman" w:cs="Times New Roman"/>
          <w:lang w:eastAsia="tr-TR"/>
        </w:rPr>
        <w:t xml:space="preserve"> teorilerinin ulus-üstü/ devlet-merkezli ayrımına dayanılarak yapılır. Bu ikili ayrım alan yazınında “supra-national/ </w:t>
      </w:r>
      <w:r w:rsidR="00F6458C">
        <w:rPr>
          <w:rFonts w:ascii="Times New Roman" w:eastAsia="Times New Roman" w:hAnsi="Times New Roman" w:cs="Times New Roman"/>
          <w:lang w:eastAsia="tr-TR"/>
        </w:rPr>
        <w:t>i</w:t>
      </w:r>
      <w:r>
        <w:rPr>
          <w:rFonts w:ascii="Times New Roman" w:eastAsia="Times New Roman" w:hAnsi="Times New Roman" w:cs="Times New Roman"/>
          <w:lang w:eastAsia="tr-TR"/>
        </w:rPr>
        <w:t>nter-governmental dicotomy” olarak da ele alınmaktadır. ( George: 2004, s. 108)</w:t>
      </w:r>
    </w:p>
    <w:p w:rsidR="00192C55" w:rsidRDefault="00192C55" w:rsidP="00192C55">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Marks ve arkadaşları çok düzeyli yönetişimi açıklarken kavramın ulus-üstü hükümetler-arasıcılık dikotomisinin ötesinde bir kavramsallaştırma olduğunu söyler. Buna göre çok düzeyli yönetişim bir yanıyla ulus-altı aktörlerin karar alma sürecinde kilit rol üstlendiği öte yandan ulus devletlerin Avrupa bütünleşmesi bulmacasının en önemli parçası olmayı sürdürdüğünü vurgular.</w:t>
      </w:r>
    </w:p>
    <w:p w:rsidR="00192C55" w:rsidRDefault="00192C55" w:rsidP="00192C55">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Bu noktada; ulus-üstü hükümetler-arasıcılık dikotomisini açıklamak gerekmektedir.    </w:t>
      </w:r>
    </w:p>
    <w:p w:rsidR="00192C55" w:rsidRPr="00192C55" w:rsidRDefault="00192C55" w:rsidP="00192C55">
      <w:pPr>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lastRenderedPageBreak/>
        <w:t xml:space="preserve">Ulus-üstü tezin öncü teorisi Neo-fonksiyonalizmdir. </w:t>
      </w:r>
      <w:r w:rsidRPr="00192C55">
        <w:rPr>
          <w:rFonts w:ascii="Times New Roman" w:eastAsia="Times New Roman" w:hAnsi="Times New Roman" w:cs="Times New Roman"/>
          <w:lang w:eastAsia="tr-TR"/>
        </w:rPr>
        <w:t xml:space="preserve">Bu teori ulus üstü aktörlerin özellikle de süreci yürüten elitlerin </w:t>
      </w:r>
      <w:r w:rsidR="00F53B5D">
        <w:rPr>
          <w:rFonts w:ascii="Times New Roman" w:eastAsia="Times New Roman" w:hAnsi="Times New Roman" w:cs="Times New Roman"/>
          <w:lang w:eastAsia="tr-TR"/>
        </w:rPr>
        <w:t>bütünleşme</w:t>
      </w:r>
      <w:r w:rsidRPr="00192C55">
        <w:rPr>
          <w:rFonts w:ascii="Times New Roman" w:eastAsia="Times New Roman" w:hAnsi="Times New Roman" w:cs="Times New Roman"/>
          <w:lang w:eastAsia="tr-TR"/>
        </w:rPr>
        <w:t xml:space="preserve"> sürecindeki önemine vurgu yapmaktadır. Ulus</w:t>
      </w:r>
      <w:r w:rsidR="00F6458C">
        <w:rPr>
          <w:rFonts w:ascii="Times New Roman" w:eastAsia="Times New Roman" w:hAnsi="Times New Roman" w:cs="Times New Roman"/>
          <w:lang w:eastAsia="tr-TR"/>
        </w:rPr>
        <w:t>- üstü ve ulus-</w:t>
      </w:r>
      <w:r w:rsidRPr="00192C55">
        <w:rPr>
          <w:rFonts w:ascii="Times New Roman" w:eastAsia="Times New Roman" w:hAnsi="Times New Roman" w:cs="Times New Roman"/>
          <w:lang w:eastAsia="tr-TR"/>
        </w:rPr>
        <w:t xml:space="preserve">altı aktörlerin çıkarları karar alma ve bütünleşme sürecinde etkilidir. Neo-fonksiyonalistlerin kullandığı önemli kavram taşma etkisidir. Buna göre her bütünleşme adımı mantıksal olarak </w:t>
      </w:r>
      <w:r w:rsidR="00F53B5D">
        <w:rPr>
          <w:rFonts w:ascii="Times New Roman" w:eastAsia="Times New Roman" w:hAnsi="Times New Roman" w:cs="Times New Roman"/>
          <w:lang w:eastAsia="tr-TR"/>
        </w:rPr>
        <w:t>bütünleşmenin</w:t>
      </w:r>
      <w:r w:rsidRPr="00192C55">
        <w:rPr>
          <w:rFonts w:ascii="Times New Roman" w:eastAsia="Times New Roman" w:hAnsi="Times New Roman" w:cs="Times New Roman"/>
          <w:lang w:eastAsia="tr-TR"/>
        </w:rPr>
        <w:t xml:space="preserve"> diğer aşamasına geçmek için zemin oluşturur. Erken dönem neo-fonksiyonalistlerde iki tip taşma etkisinden söz edilir. Bunlar işlevsel ve politik taşma etkileridir.</w:t>
      </w:r>
      <w:r>
        <w:rPr>
          <w:rFonts w:eastAsia="Times New Roman" w:cs="Times New Roman"/>
          <w:lang w:eastAsia="tr-TR"/>
        </w:rPr>
        <w:t xml:space="preserve"> </w:t>
      </w:r>
      <w:r w:rsidRPr="00192C55">
        <w:rPr>
          <w:rFonts w:ascii="Times New Roman" w:eastAsia="Times New Roman" w:hAnsi="Times New Roman" w:cs="Times New Roman"/>
          <w:lang w:eastAsia="tr-TR"/>
        </w:rPr>
        <w:t>(</w:t>
      </w:r>
      <w:r>
        <w:rPr>
          <w:rFonts w:ascii="Times New Roman" w:eastAsia="Times New Roman" w:hAnsi="Times New Roman" w:cs="Times New Roman"/>
          <w:lang w:eastAsia="tr-TR"/>
        </w:rPr>
        <w:t>K</w:t>
      </w:r>
      <w:r w:rsidRPr="00192C55">
        <w:rPr>
          <w:rFonts w:ascii="Times New Roman" w:eastAsia="Times New Roman" w:hAnsi="Times New Roman" w:cs="Times New Roman"/>
          <w:lang w:eastAsia="tr-TR"/>
        </w:rPr>
        <w:t>olektif: 2004, s. 30)</w:t>
      </w:r>
    </w:p>
    <w:p w:rsidR="00192C55" w:rsidRPr="00192C55" w:rsidRDefault="00192C55" w:rsidP="00192C55">
      <w:pPr>
        <w:pStyle w:val="NormalWeb"/>
        <w:spacing w:before="120" w:beforeAutospacing="0" w:after="120" w:afterAutospacing="0"/>
        <w:jc w:val="both"/>
        <w:rPr>
          <w:rFonts w:ascii="Times New Roman" w:eastAsia="Times New Roman" w:hAnsi="Times New Roman" w:cs="Times New Roman"/>
          <w:sz w:val="22"/>
          <w:szCs w:val="22"/>
          <w:lang w:eastAsia="tr-TR"/>
        </w:rPr>
      </w:pPr>
      <w:r w:rsidRPr="00192C55">
        <w:rPr>
          <w:rFonts w:ascii="Times New Roman" w:eastAsia="Times New Roman" w:hAnsi="Times New Roman" w:cs="Times New Roman"/>
          <w:sz w:val="22"/>
          <w:szCs w:val="22"/>
          <w:lang w:eastAsia="tr-TR"/>
        </w:rPr>
        <w:t xml:space="preserve">İşlevsel </w:t>
      </w:r>
      <w:r>
        <w:rPr>
          <w:rFonts w:ascii="Times New Roman" w:eastAsia="Times New Roman" w:hAnsi="Times New Roman" w:cs="Times New Roman"/>
          <w:sz w:val="22"/>
          <w:szCs w:val="22"/>
          <w:lang w:eastAsia="tr-TR"/>
        </w:rPr>
        <w:t xml:space="preserve">taşma teoride önemli yer tutar. Buna göre; </w:t>
      </w:r>
      <w:r w:rsidR="00F53B5D">
        <w:rPr>
          <w:rFonts w:ascii="Times New Roman" w:eastAsia="Times New Roman" w:hAnsi="Times New Roman" w:cs="Times New Roman"/>
          <w:sz w:val="22"/>
          <w:szCs w:val="22"/>
          <w:lang w:eastAsia="tr-TR"/>
        </w:rPr>
        <w:t>birlik</w:t>
      </w:r>
      <w:r w:rsidRPr="00192C55">
        <w:rPr>
          <w:rFonts w:ascii="Times New Roman" w:eastAsia="Times New Roman" w:hAnsi="Times New Roman" w:cs="Times New Roman"/>
          <w:sz w:val="22"/>
          <w:szCs w:val="22"/>
          <w:lang w:eastAsia="tr-TR"/>
        </w:rPr>
        <w:t xml:space="preserve"> üyesi devletlerin ekonomik bir neden</w:t>
      </w:r>
      <w:r w:rsidR="00F6458C">
        <w:rPr>
          <w:rFonts w:ascii="Times New Roman" w:eastAsia="Times New Roman" w:hAnsi="Times New Roman" w:cs="Times New Roman"/>
          <w:sz w:val="22"/>
          <w:szCs w:val="22"/>
          <w:lang w:eastAsia="tr-TR"/>
        </w:rPr>
        <w:t>le yaptığı teknik bir işbirliği,</w:t>
      </w:r>
      <w:r w:rsidRPr="00192C55">
        <w:rPr>
          <w:rFonts w:ascii="Times New Roman" w:eastAsia="Times New Roman" w:hAnsi="Times New Roman" w:cs="Times New Roman"/>
          <w:sz w:val="22"/>
          <w:szCs w:val="22"/>
          <w:lang w:eastAsia="tr-TR"/>
        </w:rPr>
        <w:t xml:space="preserve"> o ekonomik sektörü ilgilendiren başka bir alanda da işbirliğinin zeminini hazırlayacaktır. Örneğin tek pazar programı ortak para sistemine geçilene kadar sağlanamamıştır.</w:t>
      </w:r>
    </w:p>
    <w:p w:rsidR="00192C55" w:rsidRPr="00192C55" w:rsidRDefault="00F6458C" w:rsidP="00192C55">
      <w:pPr>
        <w:pStyle w:val="NormalWeb"/>
        <w:spacing w:before="120" w:beforeAutospacing="0" w:after="120" w:afterAutospacing="0"/>
        <w:jc w:val="both"/>
        <w:rPr>
          <w:rFonts w:ascii="Times New Roman" w:eastAsia="Times New Roman" w:hAnsi="Times New Roman" w:cs="Times New Roman"/>
          <w:sz w:val="22"/>
          <w:szCs w:val="22"/>
          <w:lang w:eastAsia="tr-TR"/>
        </w:rPr>
      </w:pPr>
      <w:r>
        <w:rPr>
          <w:rFonts w:ascii="Times New Roman" w:eastAsia="Times New Roman" w:hAnsi="Times New Roman" w:cs="Times New Roman"/>
          <w:sz w:val="22"/>
          <w:szCs w:val="22"/>
          <w:lang w:eastAsia="tr-TR"/>
        </w:rPr>
        <w:t>Teorinin eleştirisi ulus-</w:t>
      </w:r>
      <w:r w:rsidR="00192C55" w:rsidRPr="00192C55">
        <w:rPr>
          <w:rFonts w:ascii="Times New Roman" w:eastAsia="Times New Roman" w:hAnsi="Times New Roman" w:cs="Times New Roman"/>
          <w:sz w:val="22"/>
          <w:szCs w:val="22"/>
          <w:lang w:eastAsia="tr-TR"/>
        </w:rPr>
        <w:t>üstü çıkar gruplarına ve elitlere abartılı önem vermesi ve ulus devleti bu süreçte güçsüz değerlendirmesidir. Nitekim “Lüksemburg Uzlaşması” teorinin norm</w:t>
      </w:r>
      <w:r w:rsidR="00F53B5D">
        <w:rPr>
          <w:rFonts w:ascii="Times New Roman" w:eastAsia="Times New Roman" w:hAnsi="Times New Roman" w:cs="Times New Roman"/>
          <w:sz w:val="22"/>
          <w:szCs w:val="22"/>
          <w:lang w:eastAsia="tr-TR"/>
        </w:rPr>
        <w:t>atif kavramlara dayandığını ve birliğin</w:t>
      </w:r>
      <w:r w:rsidR="00192C55" w:rsidRPr="00192C55">
        <w:rPr>
          <w:rFonts w:ascii="Times New Roman" w:eastAsia="Times New Roman" w:hAnsi="Times New Roman" w:cs="Times New Roman"/>
          <w:sz w:val="22"/>
          <w:szCs w:val="22"/>
          <w:lang w:eastAsia="tr-TR"/>
        </w:rPr>
        <w:t xml:space="preserve"> o günkü durumu özetlediğini göstermiştir. Uzlaşı sonrası Devletler karar alma sürecinde önem kazanmıştır.</w:t>
      </w:r>
    </w:p>
    <w:p w:rsidR="00192C55" w:rsidRPr="00192C55" w:rsidRDefault="00192C55" w:rsidP="00192C55">
      <w:pPr>
        <w:pStyle w:val="NormalWeb"/>
        <w:spacing w:before="120" w:beforeAutospacing="0" w:after="120" w:afterAutospacing="0"/>
        <w:jc w:val="both"/>
        <w:rPr>
          <w:rFonts w:ascii="Times New Roman" w:eastAsia="Times New Roman" w:hAnsi="Times New Roman" w:cs="Times New Roman"/>
          <w:sz w:val="22"/>
          <w:szCs w:val="22"/>
          <w:lang w:eastAsia="tr-TR"/>
        </w:rPr>
      </w:pPr>
      <w:r>
        <w:rPr>
          <w:rFonts w:ascii="Times New Roman" w:eastAsia="Times New Roman" w:hAnsi="Times New Roman" w:cs="Times New Roman"/>
          <w:sz w:val="22"/>
          <w:szCs w:val="22"/>
          <w:lang w:eastAsia="tr-TR"/>
        </w:rPr>
        <w:t xml:space="preserve">Devlet-merkezli tezin öncüsü </w:t>
      </w:r>
      <w:r w:rsidRPr="00192C55">
        <w:rPr>
          <w:rFonts w:ascii="Times New Roman" w:eastAsia="Times New Roman" w:hAnsi="Times New Roman" w:cs="Times New Roman"/>
          <w:sz w:val="22"/>
          <w:szCs w:val="22"/>
          <w:lang w:eastAsia="tr-TR"/>
        </w:rPr>
        <w:t>Hoffman’ın hükümetler-arası</w:t>
      </w:r>
      <w:r>
        <w:rPr>
          <w:rFonts w:ascii="Times New Roman" w:eastAsia="Times New Roman" w:hAnsi="Times New Roman" w:cs="Times New Roman"/>
          <w:sz w:val="22"/>
          <w:szCs w:val="22"/>
          <w:lang w:eastAsia="tr-TR"/>
        </w:rPr>
        <w:t>cılık teorisidir. Bu teori,</w:t>
      </w:r>
      <w:r w:rsidRPr="00192C55">
        <w:rPr>
          <w:rFonts w:ascii="Times New Roman" w:eastAsia="Times New Roman" w:hAnsi="Times New Roman" w:cs="Times New Roman"/>
          <w:sz w:val="22"/>
          <w:szCs w:val="22"/>
          <w:lang w:eastAsia="tr-TR"/>
        </w:rPr>
        <w:t xml:space="preserve"> neo-fonksiyonalist teoriye cevap nite</w:t>
      </w:r>
      <w:r w:rsidR="00F53B5D">
        <w:rPr>
          <w:rFonts w:ascii="Times New Roman" w:eastAsia="Times New Roman" w:hAnsi="Times New Roman" w:cs="Times New Roman"/>
          <w:sz w:val="22"/>
          <w:szCs w:val="22"/>
          <w:lang w:eastAsia="tr-TR"/>
        </w:rPr>
        <w:t>liğindedir. Bu teori bütünleşme</w:t>
      </w:r>
      <w:r w:rsidRPr="00192C55">
        <w:rPr>
          <w:rFonts w:ascii="Times New Roman" w:eastAsia="Times New Roman" w:hAnsi="Times New Roman" w:cs="Times New Roman"/>
          <w:sz w:val="22"/>
          <w:szCs w:val="22"/>
          <w:lang w:eastAsia="tr-TR"/>
        </w:rPr>
        <w:t xml:space="preserve"> sürecinde üye devletleri odağa alır. Hükümetler</w:t>
      </w:r>
      <w:r w:rsidR="00F53B5D">
        <w:rPr>
          <w:rFonts w:ascii="Times New Roman" w:eastAsia="Times New Roman" w:hAnsi="Times New Roman" w:cs="Times New Roman"/>
          <w:sz w:val="22"/>
          <w:szCs w:val="22"/>
          <w:lang w:eastAsia="tr-TR"/>
        </w:rPr>
        <w:t xml:space="preserve">-arasıcı görüşe göre bütünleşme </w:t>
      </w:r>
      <w:r w:rsidRPr="00192C55">
        <w:rPr>
          <w:rFonts w:ascii="Times New Roman" w:eastAsia="Times New Roman" w:hAnsi="Times New Roman" w:cs="Times New Roman"/>
          <w:sz w:val="22"/>
          <w:szCs w:val="22"/>
          <w:lang w:eastAsia="tr-TR"/>
        </w:rPr>
        <w:t xml:space="preserve"> süreci; üye devletlerin başkanları arasında geçen geleneksel bir müzakere sürecinden farklı değildir. Bunlara ek olarak; bu müzakere süreci üç faktörle ilişkilendirilir. Ulusal çıkarlar, hükümetler-arası pazarlıklar, düşük düzeyde ortak karar alma.</w:t>
      </w:r>
      <w:r w:rsidRPr="00192C55">
        <w:rPr>
          <w:rFonts w:ascii="Times New Roman" w:eastAsia="Times New Roman" w:hAnsi="Times New Roman" w:cs="Times New Roman"/>
          <w:lang w:eastAsia="tr-TR"/>
        </w:rPr>
        <w:t xml:space="preserve"> (</w:t>
      </w:r>
      <w:r>
        <w:rPr>
          <w:rFonts w:ascii="Times New Roman" w:eastAsia="Times New Roman" w:hAnsi="Times New Roman" w:cs="Times New Roman"/>
          <w:lang w:eastAsia="tr-TR"/>
        </w:rPr>
        <w:t>K</w:t>
      </w:r>
      <w:r w:rsidRPr="00192C55">
        <w:rPr>
          <w:rFonts w:ascii="Times New Roman" w:eastAsia="Times New Roman" w:hAnsi="Times New Roman" w:cs="Times New Roman"/>
          <w:lang w:eastAsia="tr-TR"/>
        </w:rPr>
        <w:t>olektif: 2004, s. 3</w:t>
      </w:r>
      <w:r>
        <w:rPr>
          <w:rFonts w:ascii="Times New Roman" w:eastAsia="Times New Roman" w:hAnsi="Times New Roman" w:cs="Times New Roman"/>
          <w:lang w:eastAsia="tr-TR"/>
        </w:rPr>
        <w:t>1</w:t>
      </w:r>
      <w:r w:rsidRPr="00192C55">
        <w:rPr>
          <w:rFonts w:ascii="Times New Roman" w:eastAsia="Times New Roman" w:hAnsi="Times New Roman" w:cs="Times New Roman"/>
          <w:lang w:eastAsia="tr-TR"/>
        </w:rPr>
        <w:t>)</w:t>
      </w:r>
    </w:p>
    <w:p w:rsidR="00192C55" w:rsidRPr="00192C55" w:rsidRDefault="00192C55" w:rsidP="00192C55">
      <w:pPr>
        <w:pStyle w:val="NormalWeb"/>
        <w:spacing w:before="120" w:beforeAutospacing="0" w:after="120" w:afterAutospacing="0"/>
        <w:jc w:val="both"/>
        <w:rPr>
          <w:rFonts w:ascii="Times New Roman" w:eastAsia="Times New Roman" w:hAnsi="Times New Roman" w:cs="Times New Roman"/>
          <w:sz w:val="22"/>
          <w:szCs w:val="22"/>
          <w:lang w:eastAsia="tr-TR"/>
        </w:rPr>
      </w:pPr>
      <w:r w:rsidRPr="00192C55">
        <w:rPr>
          <w:rFonts w:ascii="Times New Roman" w:eastAsia="Times New Roman" w:hAnsi="Times New Roman" w:cs="Times New Roman"/>
          <w:sz w:val="22"/>
          <w:szCs w:val="22"/>
          <w:lang w:eastAsia="tr-TR"/>
        </w:rPr>
        <w:t>Hoffman’a göre</w:t>
      </w:r>
      <w:r>
        <w:rPr>
          <w:rFonts w:ascii="Times New Roman" w:eastAsia="Times New Roman" w:hAnsi="Times New Roman" w:cs="Times New Roman"/>
          <w:sz w:val="22"/>
          <w:szCs w:val="22"/>
          <w:lang w:eastAsia="tr-TR"/>
        </w:rPr>
        <w:t xml:space="preserve"> </w:t>
      </w:r>
      <w:r w:rsidRPr="00192C55">
        <w:rPr>
          <w:rFonts w:ascii="Times New Roman" w:eastAsia="Times New Roman" w:hAnsi="Times New Roman" w:cs="Times New Roman"/>
          <w:sz w:val="22"/>
          <w:szCs w:val="22"/>
          <w:lang w:eastAsia="tr-TR"/>
        </w:rPr>
        <w:t xml:space="preserve"> neo-fonksiyonalist teori ulus üstü çıkar gruplarını ve elitlerin yönlendirici etkisini abartmaktadır. Ulusal çıkarlar farklı tercihlere yol açabilir. Her ulus devlet kendi çıkarını savunur. Kendi kontrolünde kendi tercihlerini ve kendi çıkarlarını önceler ve ulus üstü karar sürecinde en az tavizle çıkarına uygun karar almaya çalışır</w:t>
      </w:r>
      <w:r>
        <w:rPr>
          <w:rFonts w:ascii="Times New Roman" w:eastAsia="Times New Roman" w:hAnsi="Times New Roman" w:cs="Times New Roman"/>
          <w:sz w:val="22"/>
          <w:szCs w:val="22"/>
          <w:lang w:eastAsia="tr-TR"/>
        </w:rPr>
        <w:t xml:space="preserve">. </w:t>
      </w:r>
      <w:r w:rsidRPr="00192C55">
        <w:rPr>
          <w:rFonts w:ascii="Times New Roman" w:eastAsia="Times New Roman" w:hAnsi="Times New Roman" w:cs="Times New Roman"/>
          <w:sz w:val="22"/>
          <w:szCs w:val="22"/>
          <w:lang w:eastAsia="tr-TR"/>
        </w:rPr>
        <w:t xml:space="preserve">İkinci olarak hükümetler arası pazarlıklarda diğer aktörler ve çıkarlar </w:t>
      </w:r>
      <w:r w:rsidR="00F53B5D">
        <w:rPr>
          <w:rFonts w:ascii="Times New Roman" w:eastAsia="Times New Roman" w:hAnsi="Times New Roman" w:cs="Times New Roman"/>
          <w:sz w:val="22"/>
          <w:szCs w:val="22"/>
          <w:lang w:eastAsia="tr-TR"/>
        </w:rPr>
        <w:t>bütünleşmede</w:t>
      </w:r>
      <w:r w:rsidRPr="00192C55">
        <w:rPr>
          <w:rFonts w:ascii="Times New Roman" w:eastAsia="Times New Roman" w:hAnsi="Times New Roman" w:cs="Times New Roman"/>
          <w:sz w:val="22"/>
          <w:szCs w:val="22"/>
          <w:lang w:eastAsia="tr-TR"/>
        </w:rPr>
        <w:t xml:space="preserve"> rol oynar. Fakat kilit kararlar alınırken içsel kaygılarla ilgili siyasal hesaplar güçlü grupların çıkarlarını koruyacak şekilde belirlenir ve devletler tarafından alınır.</w:t>
      </w:r>
      <w:r>
        <w:rPr>
          <w:rFonts w:ascii="Times New Roman" w:eastAsia="Times New Roman" w:hAnsi="Times New Roman" w:cs="Times New Roman"/>
          <w:sz w:val="22"/>
          <w:szCs w:val="22"/>
          <w:lang w:eastAsia="tr-TR"/>
        </w:rPr>
        <w:t xml:space="preserve"> </w:t>
      </w:r>
      <w:r w:rsidRPr="00192C55">
        <w:rPr>
          <w:rFonts w:ascii="Times New Roman" w:eastAsia="Times New Roman" w:hAnsi="Times New Roman" w:cs="Times New Roman"/>
          <w:sz w:val="22"/>
          <w:szCs w:val="22"/>
          <w:lang w:eastAsia="tr-TR"/>
        </w:rPr>
        <w:t xml:space="preserve">Üçüncü olarak ulus devletler egemenliklerinden en az vazgeçtikleri konularda yüksek oranda ortak karara varırlar Ulusal yönetimler </w:t>
      </w:r>
      <w:r w:rsidR="00F53B5D">
        <w:rPr>
          <w:rFonts w:ascii="Times New Roman" w:eastAsia="Times New Roman" w:hAnsi="Times New Roman" w:cs="Times New Roman"/>
          <w:sz w:val="22"/>
          <w:szCs w:val="22"/>
          <w:lang w:eastAsia="tr-TR"/>
        </w:rPr>
        <w:t>birliğin</w:t>
      </w:r>
      <w:r w:rsidRPr="00192C55">
        <w:rPr>
          <w:rFonts w:ascii="Times New Roman" w:eastAsia="Times New Roman" w:hAnsi="Times New Roman" w:cs="Times New Roman"/>
          <w:sz w:val="22"/>
          <w:szCs w:val="22"/>
          <w:lang w:eastAsia="tr-TR"/>
        </w:rPr>
        <w:t xml:space="preserve"> aşamasına ve doğasına bağlı olarak iç politika ve ulus üstü politika sistemleri arasında “bekçi” rolü üstlenirler. (Hoffman: 1964, s. 93</w:t>
      </w:r>
      <w:r>
        <w:rPr>
          <w:rFonts w:ascii="Times New Roman" w:eastAsia="Times New Roman" w:hAnsi="Times New Roman" w:cs="Times New Roman"/>
          <w:sz w:val="22"/>
          <w:szCs w:val="22"/>
          <w:lang w:eastAsia="tr-TR"/>
        </w:rPr>
        <w:t>-94</w:t>
      </w:r>
      <w:r w:rsidRPr="00192C55">
        <w:rPr>
          <w:rFonts w:ascii="Times New Roman" w:eastAsia="Times New Roman" w:hAnsi="Times New Roman" w:cs="Times New Roman"/>
          <w:sz w:val="22"/>
          <w:szCs w:val="22"/>
          <w:lang w:eastAsia="tr-TR"/>
        </w:rPr>
        <w:t>)</w:t>
      </w:r>
    </w:p>
    <w:p w:rsidR="00FA7E3D" w:rsidRDefault="00192C55" w:rsidP="00192C55">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Bu tezler 1960-1970 arası dönemi açıklamakta işlevseldi. Ancak 1980 sonrası Avrupa Topluluğunda Siyasal birliğe geçiş sürecini açıklamada yetersiz kaldı. Hoffman’ın hükümetler-arasıcılık yaklaşımının eksikleri Pollack ve </w:t>
      </w:r>
      <w:r>
        <w:rPr>
          <w:rFonts w:ascii="Times New Roman" w:eastAsia="Calibri" w:hAnsi="Times New Roman" w:cs="Times New Roman"/>
          <w:sz w:val="22"/>
          <w:szCs w:val="22"/>
        </w:rPr>
        <w:lastRenderedPageBreak/>
        <w:t>Moravcsik’in Liberal Hükümetler-arasıcılık yaklaşımıyla gözden geçirildi. Moravcsik hükümetler-arasıcılık’ın temel önermelerini korumakla birlikte, ulus-altı aktörlerin etkilerini ve yetki dağılımındaki tercihlerin değişiklikleri ulus devletlerin baskısı ve belirleyiciliği altında şekillendiğini söyler. Çok düzeyli yönetişim kavramsallaştırması ise aynı dönemde çoğulcu izler taşıması ve çıkar gruplarına verdiği önemle neo-fonksiyonalizmin yeniden düzenlemesi olarak değerlendirilmiştir.</w:t>
      </w:r>
    </w:p>
    <w:p w:rsidR="00192C55" w:rsidRDefault="00FA7E3D" w:rsidP="00192C55">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Çok düzeyli yönetişim iki açıdan neo-fonksiyonalist teoriden ayrılır. Ulus-altı aktörlerin özerkliğinin farklı ülke</w:t>
      </w:r>
      <w:r w:rsidR="00F6458C">
        <w:rPr>
          <w:rFonts w:ascii="Times New Roman" w:eastAsia="Calibri" w:hAnsi="Times New Roman" w:cs="Times New Roman"/>
          <w:sz w:val="22"/>
          <w:szCs w:val="22"/>
        </w:rPr>
        <w:t>lerde farklı düzeyde olabilir</w:t>
      </w:r>
      <w:r>
        <w:rPr>
          <w:rFonts w:ascii="Times New Roman" w:eastAsia="Calibri" w:hAnsi="Times New Roman" w:cs="Times New Roman"/>
          <w:sz w:val="22"/>
          <w:szCs w:val="22"/>
        </w:rPr>
        <w:t xml:space="preserve"> ve buna bağlı olarak karar alma sürecinde ulus devletle ilişkisindeki denge değişebilmektedir. İkinci olarak taşma etkisinden söz edilmez. Bunun nedeni 1992 sonrası Birliği</w:t>
      </w:r>
      <w:r w:rsidR="00F6458C">
        <w:rPr>
          <w:rFonts w:ascii="Times New Roman" w:eastAsia="Calibri" w:hAnsi="Times New Roman" w:cs="Times New Roman"/>
          <w:sz w:val="22"/>
          <w:szCs w:val="22"/>
        </w:rPr>
        <w:t>n durumunu açıklamaktan uzak olmasıdır.</w:t>
      </w:r>
      <w:r>
        <w:rPr>
          <w:rFonts w:ascii="Times New Roman" w:eastAsia="Calibri" w:hAnsi="Times New Roman" w:cs="Times New Roman"/>
          <w:sz w:val="22"/>
          <w:szCs w:val="22"/>
        </w:rPr>
        <w:t xml:space="preserve"> Bu nedenle çok düzeyli yönetişim neo-fonksiyonalizmin analiz araçlarıyla kısmi bir açıklama üretir.  </w:t>
      </w:r>
      <w:r w:rsidR="00192C55">
        <w:rPr>
          <w:rFonts w:ascii="Times New Roman" w:eastAsia="Calibri" w:hAnsi="Times New Roman" w:cs="Times New Roman"/>
          <w:sz w:val="22"/>
          <w:szCs w:val="22"/>
        </w:rPr>
        <w:t xml:space="preserve">  </w:t>
      </w:r>
    </w:p>
    <w:p w:rsidR="00FA7E3D" w:rsidRDefault="00FA7E3D" w:rsidP="00192C55">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Dolayısıyla ç</w:t>
      </w:r>
      <w:r w:rsidR="0006798D" w:rsidRPr="003F69DA">
        <w:rPr>
          <w:rFonts w:ascii="Times New Roman" w:eastAsia="Calibri" w:hAnsi="Times New Roman" w:cs="Times New Roman"/>
          <w:sz w:val="22"/>
          <w:szCs w:val="22"/>
        </w:rPr>
        <w:t>ok düzeyli yönetişim daha önce oluşturul</w:t>
      </w:r>
      <w:r>
        <w:rPr>
          <w:rFonts w:ascii="Times New Roman" w:eastAsia="Calibri" w:hAnsi="Times New Roman" w:cs="Times New Roman"/>
          <w:sz w:val="22"/>
          <w:szCs w:val="22"/>
        </w:rPr>
        <w:t>an teorilerin bir birleşimidir. Ç</w:t>
      </w:r>
      <w:r w:rsidR="0006798D" w:rsidRPr="003F69DA">
        <w:rPr>
          <w:rFonts w:ascii="Times New Roman" w:eastAsia="Calibri" w:hAnsi="Times New Roman" w:cs="Times New Roman"/>
          <w:sz w:val="22"/>
          <w:szCs w:val="22"/>
        </w:rPr>
        <w:t>ok düzeyli yönetişim Marks’ın iddia ettiği gibi yeni bir analiz biçimi değildir,  neo-fonksiyonalist teorinin bir bölümüne dayanılarak oluşturulmuştur. Gary Marks’ın “</w:t>
      </w:r>
      <w:r w:rsidR="0006798D" w:rsidRPr="003F69DA">
        <w:rPr>
          <w:rFonts w:ascii="Times New Roman" w:hAnsi="Times New Roman" w:cs="Times New Roman"/>
          <w:sz w:val="22"/>
          <w:szCs w:val="22"/>
        </w:rPr>
        <w:t>European Integration from 1980’s: State Cenric vs. Multi Level Governance”</w:t>
      </w:r>
      <w:r w:rsidR="0006798D" w:rsidRPr="003F69DA">
        <w:rPr>
          <w:rFonts w:ascii="Times New Roman" w:eastAsia="Calibri" w:hAnsi="Times New Roman" w:cs="Times New Roman"/>
          <w:sz w:val="22"/>
          <w:szCs w:val="22"/>
        </w:rPr>
        <w:t xml:space="preserve"> adlı çalışmasının başlığı bunun işaretini verir. </w:t>
      </w:r>
    </w:p>
    <w:p w:rsidR="0006798D" w:rsidRPr="003F69DA" w:rsidRDefault="0006798D" w:rsidP="00192C55">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İkinci olarak; tıpkı neo-fonksiyonalistler gibi politika alanlarının Avrupalılaşmaya uyumlanması için ulus-altı aktörlerin özerkliğini arttırmak gerekir. Bu nedenle, devlet merkezli teoriye karşı bir tez üretmek gerekir. Eğer devlet-merkezli tezde olduğu gibi ulusal merkezi yönetimle ulus-üstü kurumlar arası tek yönlü bir ilişki varsa ulus-altı aktörlerin tercihleri etkilemesi söz konusu olamaz. Çok düzeyli yöne</w:t>
      </w:r>
      <w:r w:rsidR="00192C55">
        <w:rPr>
          <w:rFonts w:ascii="Times New Roman" w:eastAsia="Calibri" w:hAnsi="Times New Roman" w:cs="Times New Roman"/>
          <w:sz w:val="22"/>
          <w:szCs w:val="22"/>
        </w:rPr>
        <w:t>tişimin neo-fonksiyonalizmden</w:t>
      </w:r>
      <w:r w:rsidR="00F6458C">
        <w:rPr>
          <w:rFonts w:ascii="Times New Roman" w:eastAsia="Calibri" w:hAnsi="Times New Roman" w:cs="Times New Roman"/>
          <w:sz w:val="22"/>
          <w:szCs w:val="22"/>
        </w:rPr>
        <w:t xml:space="preserve"> tek ciddi farkı, işlevsel</w:t>
      </w:r>
      <w:r w:rsidRPr="003F69DA">
        <w:rPr>
          <w:rFonts w:ascii="Times New Roman" w:eastAsia="Calibri" w:hAnsi="Times New Roman" w:cs="Times New Roman"/>
          <w:sz w:val="22"/>
          <w:szCs w:val="22"/>
        </w:rPr>
        <w:t xml:space="preserve"> taşma etkisini reddetmesidir.  Zaten taşma etkisi 1960’larda geçerli olan bir tezdir. Bu nedenle çok düzeyli yönetişim özgün değildir savı geçerlidir.</w:t>
      </w:r>
      <w:r w:rsidR="00625C18">
        <w:rPr>
          <w:rFonts w:ascii="Times New Roman" w:eastAsia="Calibri" w:hAnsi="Times New Roman" w:cs="Times New Roman"/>
          <w:sz w:val="22"/>
          <w:szCs w:val="22"/>
        </w:rPr>
        <w:t xml:space="preserve"> (George: 2004, s. 112)</w:t>
      </w:r>
    </w:p>
    <w:p w:rsidR="00FA7E3D" w:rsidRDefault="00FA7E3D" w:rsidP="00AD123D">
      <w:pPr>
        <w:spacing w:before="120" w:after="120" w:line="240" w:lineRule="auto"/>
        <w:jc w:val="both"/>
        <w:rPr>
          <w:rFonts w:ascii="Times New Roman" w:eastAsia="Times New Roman" w:hAnsi="Times New Roman" w:cs="Times New Roman"/>
          <w:b/>
          <w:lang w:eastAsia="tr-TR"/>
        </w:rPr>
      </w:pPr>
    </w:p>
    <w:p w:rsidR="00AE56FC" w:rsidRDefault="00924B1D" w:rsidP="00AD123D">
      <w:pPr>
        <w:spacing w:before="120" w:after="120" w:line="240" w:lineRule="auto"/>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II-B)&lt;&lt;Çok Düzeyli Yönet</w:t>
      </w:r>
      <w:r w:rsidR="005114B6">
        <w:rPr>
          <w:rFonts w:ascii="Times New Roman" w:eastAsia="Times New Roman" w:hAnsi="Times New Roman" w:cs="Times New Roman"/>
          <w:b/>
          <w:lang w:eastAsia="tr-TR"/>
        </w:rPr>
        <w:t xml:space="preserve">işim Avrupa Birliği ile ilgili Tanımlama Biçimidir: Bu nedenle Teori Değildir&gt;&gt; </w:t>
      </w:r>
    </w:p>
    <w:p w:rsidR="00A63861"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 xml:space="preserve">AB’yi tanımlama biçimidir, teori değildir: Bu eleştiririnin temelinde iki husus yatar. İlk olarak; </w:t>
      </w:r>
      <w:r w:rsidR="00F53B5D">
        <w:rPr>
          <w:rFonts w:ascii="Times New Roman" w:eastAsia="Calibri" w:hAnsi="Times New Roman" w:cs="Times New Roman"/>
          <w:sz w:val="22"/>
          <w:szCs w:val="22"/>
        </w:rPr>
        <w:t>bütünleşmenin</w:t>
      </w:r>
      <w:r w:rsidRPr="003F69DA">
        <w:rPr>
          <w:rFonts w:ascii="Times New Roman" w:eastAsia="Calibri" w:hAnsi="Times New Roman" w:cs="Times New Roman"/>
          <w:sz w:val="22"/>
          <w:szCs w:val="22"/>
        </w:rPr>
        <w:t xml:space="preserve"> itici gücü yoktur. İkinci olarak; test edilebilir hipotezi yoktur. Birinci unsura göre; AB </w:t>
      </w:r>
      <w:r w:rsidR="00F53B5D">
        <w:rPr>
          <w:rFonts w:ascii="Times New Roman" w:eastAsia="Calibri" w:hAnsi="Times New Roman" w:cs="Times New Roman"/>
          <w:sz w:val="22"/>
          <w:szCs w:val="22"/>
        </w:rPr>
        <w:t>bütünleşmesinin</w:t>
      </w:r>
      <w:r w:rsidRPr="003F69DA">
        <w:rPr>
          <w:rFonts w:ascii="Times New Roman" w:eastAsia="Calibri" w:hAnsi="Times New Roman" w:cs="Times New Roman"/>
          <w:sz w:val="22"/>
          <w:szCs w:val="22"/>
        </w:rPr>
        <w:t xml:space="preserve"> açıklamasını yaparken yönetişim teorisine dönüş yapar.</w:t>
      </w:r>
      <w:r w:rsidR="00F53B5D">
        <w:rPr>
          <w:rFonts w:ascii="Times New Roman" w:eastAsia="Calibri" w:hAnsi="Times New Roman" w:cs="Times New Roman"/>
          <w:sz w:val="22"/>
          <w:szCs w:val="22"/>
        </w:rPr>
        <w:t xml:space="preserve"> Bütünleşme</w:t>
      </w:r>
      <w:r w:rsidRPr="003F69DA">
        <w:rPr>
          <w:rFonts w:ascii="Times New Roman" w:eastAsia="Calibri" w:hAnsi="Times New Roman" w:cs="Times New Roman"/>
          <w:sz w:val="22"/>
          <w:szCs w:val="22"/>
        </w:rPr>
        <w:t xml:space="preserve"> sürecinin dinamiklerini bulmaya çalışır. Gerek ulus devletlerin otoritelerini neden devretmeye razı olduğu gerekse ulus-altı aktörlere sunduğu stratejileri neo-fonksiyonalizm ile örtüşür.  “Bu çaba meşru entelektüel bir çabadır” ancak sorun çözmekten uzaktır.</w:t>
      </w:r>
      <w:r w:rsidR="00625C18">
        <w:rPr>
          <w:rFonts w:ascii="Times New Roman" w:eastAsia="Calibri" w:hAnsi="Times New Roman" w:cs="Times New Roman"/>
          <w:sz w:val="22"/>
          <w:szCs w:val="22"/>
        </w:rPr>
        <w:t xml:space="preserve"> (Jordan: 2001, s. 201)</w:t>
      </w:r>
    </w:p>
    <w:p w:rsidR="00A63861" w:rsidRPr="003F69DA" w:rsidRDefault="00A63861" w:rsidP="00AD123D">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lastRenderedPageBreak/>
        <w:t>Burada önemli soru merkezi hükümetler ulus-altı aktörlerle güçlerini paylaşm</w:t>
      </w:r>
      <w:r w:rsidR="00F6458C">
        <w:rPr>
          <w:rFonts w:ascii="Times New Roman" w:eastAsia="Calibri" w:hAnsi="Times New Roman" w:cs="Times New Roman"/>
          <w:sz w:val="22"/>
          <w:szCs w:val="22"/>
        </w:rPr>
        <w:t xml:space="preserve">aya niçin razı olurlar sorusudur. </w:t>
      </w:r>
      <w:r>
        <w:rPr>
          <w:rFonts w:ascii="Times New Roman" w:eastAsia="Calibri" w:hAnsi="Times New Roman" w:cs="Times New Roman"/>
          <w:sz w:val="22"/>
          <w:szCs w:val="22"/>
        </w:rPr>
        <w:t>Marks</w:t>
      </w:r>
      <w:r w:rsidR="00F6458C">
        <w:rPr>
          <w:rFonts w:ascii="Times New Roman" w:eastAsia="Calibri" w:hAnsi="Times New Roman" w:cs="Times New Roman"/>
          <w:sz w:val="22"/>
          <w:szCs w:val="22"/>
        </w:rPr>
        <w:t xml:space="preserve"> bu soruya</w:t>
      </w:r>
      <w:r>
        <w:rPr>
          <w:rFonts w:ascii="Times New Roman" w:eastAsia="Calibri" w:hAnsi="Times New Roman" w:cs="Times New Roman"/>
          <w:sz w:val="22"/>
          <w:szCs w:val="22"/>
        </w:rPr>
        <w:t xml:space="preserve"> üç boyutla cevap verir. Hükümet liderleri böyle olmasını ister, ikinci olarak merkezi yönetimler meşruiyetlerini korumak için yetkilerin bir bölümünden ulus-altı aktörler lehine vazgeçer. Son olarak, yetkilerinin aşınmasını engelleyemedikleri için zorunlu bir kabul ediş söz konusudur.</w:t>
      </w:r>
      <w:r w:rsidR="0003674E">
        <w:rPr>
          <w:rFonts w:ascii="Times New Roman" w:eastAsia="Calibri" w:hAnsi="Times New Roman" w:cs="Times New Roman"/>
          <w:sz w:val="22"/>
          <w:szCs w:val="22"/>
        </w:rPr>
        <w:t xml:space="preserve"> Hükümet liderlerinin bunu istemelerinde en güçlü neden ulus-üstü yasaların yapımı sürecinde AB kurumlarını etkilemektir. Ulus-altı aktörlerin de onayını alan bir ulus-üstü yasa taslağı hem ulusal düzeyde hem de ulus-üstü düzeyde geri çevrilmez. Ayrıca iç müzakere sürecinde sorumluluğun bir bölümünden özerkliklerinin bir kısmını ulus-altı aktörlere devrederek kurtulabilirler. Görüldüğü gibi birinci eleştiriyle bağlantılı olarak çok düzeyli yönetişimin entelektüel dayanağı neo-fonksiyonalist teze dayanır. (George: 2004, s. 116-117) </w:t>
      </w:r>
      <w:r>
        <w:rPr>
          <w:rFonts w:ascii="Times New Roman" w:eastAsia="Calibri" w:hAnsi="Times New Roman" w:cs="Times New Roman"/>
          <w:sz w:val="22"/>
          <w:szCs w:val="22"/>
        </w:rPr>
        <w:t xml:space="preserve"> </w:t>
      </w:r>
    </w:p>
    <w:p w:rsidR="0006798D" w:rsidRDefault="0006798D" w:rsidP="00AD123D">
      <w:pPr>
        <w:pStyle w:val="NormalWeb"/>
        <w:spacing w:before="120" w:beforeAutospacing="0" w:after="120" w:afterAutospacing="0"/>
        <w:jc w:val="both"/>
        <w:rPr>
          <w:rFonts w:ascii="Times New Roman" w:eastAsia="Calibri" w:hAnsi="Times New Roman" w:cs="Times New Roman"/>
          <w:sz w:val="22"/>
          <w:szCs w:val="22"/>
        </w:rPr>
      </w:pPr>
      <w:r w:rsidRPr="003F69DA">
        <w:rPr>
          <w:rFonts w:ascii="Times New Roman" w:eastAsia="Calibri" w:hAnsi="Times New Roman" w:cs="Times New Roman"/>
          <w:sz w:val="22"/>
          <w:szCs w:val="22"/>
        </w:rPr>
        <w:t>İkinci olarak test edilebilir bir hipotezin yokluğuna ilişkin Hooghe çalışmasında genel bir hipotez üretmediğini, Neo-fonksiyonalizmle aynı hipotezi savunduğunu söyler</w:t>
      </w:r>
      <w:r w:rsidR="0003674E">
        <w:rPr>
          <w:rFonts w:ascii="Times New Roman" w:eastAsia="Calibri" w:hAnsi="Times New Roman" w:cs="Times New Roman"/>
          <w:sz w:val="22"/>
          <w:szCs w:val="22"/>
        </w:rPr>
        <w:t>.</w:t>
      </w:r>
      <w:r w:rsidRPr="0003674E">
        <w:rPr>
          <w:rFonts w:ascii="Times New Roman" w:eastAsia="Calibri" w:hAnsi="Times New Roman" w:cs="Times New Roman"/>
          <w:sz w:val="22"/>
          <w:szCs w:val="22"/>
          <w:vertAlign w:val="superscript"/>
        </w:rPr>
        <w:t>.</w:t>
      </w:r>
      <w:r w:rsidR="0003674E" w:rsidRPr="0003674E">
        <w:rPr>
          <w:rFonts w:ascii="Times New Roman" w:eastAsia="Calibri" w:hAnsi="Times New Roman" w:cs="Times New Roman"/>
          <w:sz w:val="22"/>
          <w:szCs w:val="22"/>
          <w:vertAlign w:val="superscript"/>
        </w:rPr>
        <w:t>[3]</w:t>
      </w:r>
      <w:r w:rsidRPr="003F69DA">
        <w:rPr>
          <w:rFonts w:ascii="Times New Roman" w:eastAsia="Calibri" w:hAnsi="Times New Roman" w:cs="Times New Roman"/>
          <w:sz w:val="22"/>
          <w:szCs w:val="22"/>
        </w:rPr>
        <w:t xml:space="preserve"> Yöntemsel olarak bu hatalıdır. Çalışmasının sonunda ise; ulus-altı katılım artmıştır ancak,  ülkeler arası eşitsiz şekilde artmıştır. Farklı ülkelerde katılımın farklı düzeylerde gerçekleştiğini söyler.  Bunun nedeni ulusal merkezi yönetimlerin farklı düzenlemelerinin olmasıdır. Ancak sonraki çalışmalar göstermektedir ki, sadece üye devletler arasında değil bir üye devletin farklı bölgelerinde farklı düzeyde katılım olabilir. Dolayısıyla katılıma ilişkin bu sav genellenmemelidir. Bu açılardan çok düzeyli yönetişim bir “paradigma” ya da “zorlama bir metafor” olarak tanımlanabilir.</w:t>
      </w:r>
      <w:r w:rsidR="00625C18" w:rsidRPr="00625C18">
        <w:rPr>
          <w:rFonts w:ascii="Times New Roman" w:eastAsia="Calibri" w:hAnsi="Times New Roman" w:cs="Times New Roman"/>
          <w:sz w:val="22"/>
          <w:szCs w:val="22"/>
        </w:rPr>
        <w:t xml:space="preserve"> </w:t>
      </w:r>
      <w:r w:rsidR="00625C18">
        <w:rPr>
          <w:rFonts w:ascii="Times New Roman" w:eastAsia="Calibri" w:hAnsi="Times New Roman" w:cs="Times New Roman"/>
          <w:sz w:val="22"/>
          <w:szCs w:val="22"/>
        </w:rPr>
        <w:t>(Jordan: 2001, s. 202)</w:t>
      </w:r>
    </w:p>
    <w:p w:rsidR="0003674E" w:rsidRDefault="0003674E" w:rsidP="00AD123D">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Jordan’a göre çok düzeyli yönetişim teori olmak için diğer teorilerle işbirliğine gitmeli, onların kavramlarını ödünç alarak teorik örüntüsünü güçlendirmelidir. Örneğin Hoffman’ın Hükümetler-arasıcılık, Moravcsik’in Liberal Hükümetler arasıcılık tezleri rasyonel seçiş teorisinin ve karar alma sürecini açıklaması açısından oyun teorisinin kavramlarını kullanmaktadır. Bu açıdan bilimsellik iddiasını güçlendirmektedir. Çok düzeyli yönetişim ise aktör merkezli bir </w:t>
      </w:r>
      <w:r w:rsidR="00F6458C">
        <w:rPr>
          <w:rFonts w:ascii="Times New Roman" w:eastAsia="Calibri" w:hAnsi="Times New Roman" w:cs="Times New Roman"/>
          <w:sz w:val="22"/>
          <w:szCs w:val="22"/>
        </w:rPr>
        <w:t>yaklaşım olarak Keating’in de dediği gibi</w:t>
      </w:r>
      <w:r>
        <w:rPr>
          <w:rFonts w:ascii="Times New Roman" w:eastAsia="Calibri" w:hAnsi="Times New Roman" w:cs="Times New Roman"/>
          <w:sz w:val="22"/>
          <w:szCs w:val="22"/>
        </w:rPr>
        <w:t xml:space="preserve"> rasyonel seçiş teorisinin bir kolu olan kamusal seçiş teorisine yaklaşmaktadır. Jordan’a göre rasyonel seçiş teorisini kullanmak için öncelikle Moravcsik’in ya da Rhodes’in yaptığı gibi aktörleri belirlemelidir. Burada belirtilmesi gereken bir nokta Thielmann’ın söylediği ve George’nin aktardığı üzere toplumsal yapısının çok düzeyli yönetişimi farklı belirlemesinden yola çıkarak tamamen Toplumsal kurumsalcılık teorisinin kavramlarından destek almalıdır. </w:t>
      </w:r>
    </w:p>
    <w:p w:rsidR="0003674E" w:rsidRDefault="0003674E" w:rsidP="0003674E">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Bu durumda çok düzey</w:t>
      </w:r>
      <w:r w:rsidR="00F53B5D">
        <w:rPr>
          <w:rFonts w:ascii="Times New Roman" w:eastAsia="Calibri" w:hAnsi="Times New Roman" w:cs="Times New Roman"/>
          <w:sz w:val="22"/>
          <w:szCs w:val="22"/>
        </w:rPr>
        <w:t>li yönetişim kavramı bütünleşme</w:t>
      </w:r>
      <w:r>
        <w:rPr>
          <w:rFonts w:ascii="Times New Roman" w:eastAsia="Calibri" w:hAnsi="Times New Roman" w:cs="Times New Roman"/>
          <w:sz w:val="22"/>
          <w:szCs w:val="22"/>
        </w:rPr>
        <w:t xml:space="preserve"> teorilerinin ulus-üstü/ devlet-merkezli dikotomisinden kurtulacak fakat sosyal yapısalcı/ rasyonel seçiş dikotomisi arasında kalacaktır. Jordan’ın söylediği ve George’un da </w:t>
      </w:r>
      <w:r>
        <w:rPr>
          <w:rFonts w:ascii="Times New Roman" w:eastAsia="Calibri" w:hAnsi="Times New Roman" w:cs="Times New Roman"/>
          <w:sz w:val="22"/>
          <w:szCs w:val="22"/>
        </w:rPr>
        <w:lastRenderedPageBreak/>
        <w:t>desteklediği gibi çok düzeyli yönetişim için en uygun kavramsal destek tarihsel kurumsalcılık sağlayacaktır. (Jordan: 2001, s. 202; George 2004, s. 117-118)</w:t>
      </w:r>
    </w:p>
    <w:p w:rsidR="0003674E" w:rsidRDefault="0003674E" w:rsidP="0003674E">
      <w:pPr>
        <w:pStyle w:val="NormalWeb"/>
        <w:spacing w:before="120" w:beforeAutospacing="0" w:after="120" w:afterAutospacing="0"/>
        <w:jc w:val="both"/>
        <w:rPr>
          <w:rFonts w:ascii="Times New Roman" w:eastAsia="Calibri" w:hAnsi="Times New Roman" w:cs="Times New Roman"/>
          <w:sz w:val="22"/>
          <w:szCs w:val="22"/>
        </w:rPr>
      </w:pPr>
      <w:r>
        <w:rPr>
          <w:rFonts w:ascii="Times New Roman" w:eastAsia="Calibri" w:hAnsi="Times New Roman" w:cs="Times New Roman"/>
          <w:sz w:val="22"/>
          <w:szCs w:val="22"/>
        </w:rPr>
        <w:t xml:space="preserve">     </w:t>
      </w:r>
    </w:p>
    <w:p w:rsidR="00D31394" w:rsidRPr="00924B1D" w:rsidRDefault="00D31394" w:rsidP="0003674E">
      <w:pPr>
        <w:pStyle w:val="NormalWeb"/>
        <w:spacing w:before="120" w:beforeAutospacing="0" w:after="120" w:afterAutospacing="0"/>
        <w:jc w:val="both"/>
        <w:rPr>
          <w:rFonts w:ascii="Times New Roman" w:eastAsia="Times New Roman" w:hAnsi="Times New Roman" w:cs="Times New Roman"/>
          <w:b/>
          <w:lang w:eastAsia="tr-TR"/>
        </w:rPr>
      </w:pPr>
      <w:r>
        <w:rPr>
          <w:rFonts w:ascii="Times New Roman" w:eastAsia="Times New Roman" w:hAnsi="Times New Roman" w:cs="Times New Roman"/>
          <w:b/>
          <w:lang w:eastAsia="tr-TR"/>
        </w:rPr>
        <w:t>SONUÇ</w:t>
      </w:r>
    </w:p>
    <w:p w:rsidR="00F6458C"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Bu çalışmada</w:t>
      </w:r>
      <w:r w:rsidR="00F53B5D">
        <w:rPr>
          <w:rFonts w:ascii="Times New Roman" w:eastAsia="Times New Roman" w:hAnsi="Times New Roman" w:cs="Times New Roman"/>
          <w:lang w:eastAsia="tr-TR"/>
        </w:rPr>
        <w:t xml:space="preserve"> 1990 sonrası Avrupa bütünleşme alan</w:t>
      </w:r>
      <w:r>
        <w:rPr>
          <w:rFonts w:ascii="Times New Roman" w:eastAsia="Times New Roman" w:hAnsi="Times New Roman" w:cs="Times New Roman"/>
          <w:lang w:eastAsia="tr-TR"/>
        </w:rPr>
        <w:t xml:space="preserve"> yazınında ele alınan çok düzeyli yönetişim kavramının bilimselliğine yönelik eleştirilere ve tartışmalara yer verilmiştir. Çok düzeyli yönetişim kavramı ulus devletlerin karar alma ve yürütme açısından, ulus-altı ve ulus-üstü aktörlerle yetkilerini paylaşarak tekel olma özelliğinin aşındığını ayrıca politika yapılan, karar alınan alanlar arasında karşılıklı bağımlı bir etkileşimin olduğunu iddia etmektedir. </w:t>
      </w:r>
    </w:p>
    <w:p w:rsidR="00F6458C"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 xml:space="preserve">Kavrama yönelik ilk eleştiri çok düzeyli yönetişimin </w:t>
      </w:r>
      <w:r w:rsidR="00F53B5D">
        <w:rPr>
          <w:rFonts w:ascii="Times New Roman" w:eastAsia="Times New Roman" w:hAnsi="Times New Roman" w:cs="Times New Roman"/>
          <w:lang w:eastAsia="tr-TR"/>
        </w:rPr>
        <w:t xml:space="preserve">bütünleşme </w:t>
      </w:r>
      <w:r>
        <w:rPr>
          <w:rFonts w:ascii="Times New Roman" w:eastAsia="Times New Roman" w:hAnsi="Times New Roman" w:cs="Times New Roman"/>
          <w:lang w:eastAsia="tr-TR"/>
        </w:rPr>
        <w:t xml:space="preserve">teorilerinin temel analiz aksı olarak, ulus-üstü/ devlet-merkezli dikotomisinin uzağında olmadığını, Neo-fonksiyonalist teorinin ulus-üstü çıkar gruplarına tanığı önemi sürdürmeye devam etmekte, ondan farklı olarak  kurumsalcı bakışa kısmen yaklaşarak üye  devletlerin kurumlarının özgün koşullarına atıf yapmaktadır. Neo-fonksiyonalistlerden ayrıldığı bir diğer nokta işlevsel taşma etkisine yer vermemesidir. Bunun nedeni 1990 sonrası bu açıklama biçiminin birliği açıklamada yetersiz kalmasıdır. Buradan hareketle çok düzeyli yönetişimin neo-fonksiyonalistlerin analiz araçlarından kısmen yararlanarak sınırlı bir açıklama ürettiğini görüyoruz. </w:t>
      </w:r>
    </w:p>
    <w:p w:rsidR="00F6458C"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Marks ve arkadaşlarının çok düzeyli yönetişimi açıklarken ulus- devletlerin karar alma sürecinde tek aktör olmaması fakat Avrupa Birliği bulmacasının en önemli parçası olmasını söylemesi kavramsallaştırmayı devlet-merkezli teze yaklaştırmaktadır. Dolayısıyla &lt;&lt;Çok düzeyli yönetişim teori değildir önceki teorilerin birleştirilmesiyle oluşturulmuş eklektik bir sentezdir.&gt;&gt;</w:t>
      </w:r>
    </w:p>
    <w:p w:rsidR="00F6458C"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t>Çok düzeyli yönetişime yönetişimin bilimselliğine yönelik ikinci eleştiri kavramın Avrupa bütünleşmesine neden ihtiyaç duyulduğuna cevap üretmez, ulus-devletlerin niçin karar alma ve uygulama açısından diğer aktörlere yetki devretmeye razı olduğu sorusuna odaklanır. Cevabı da yönetişim teorileri içinde arar. Görüldüğü gibi bütünleşmenin itici gücü nedir sorusu yanıtsızdır.  Ayrıca, çok düzeyli yönetişimin teori iddiasında olabilmesi için  kavramsal bir örüntüye sahip olması ve test edilebilir bir hipotezinin olması gerekir. Oysaki Marks çok düzeyli yönetişimin neo-fonksiyonalistlerle aynı hipotezi savunduğunu söyler. Bununla birlikte çok düzeyli yönetişim ne aktörleri tam olarak belirleyerek aktör düzeyinde analiz geliştirir, ne de kurumsalcıların analiz araçlarını tam olarak kullanır. Bu eğilime girmesi ise toplumsal-yapısalcı/ rasyonel seçiş dikotomisinin tuzağına düşecektir.  Bu nedenle tarihsel-kurumsalcı yaklaşımın kavramlarını ödünç alması gereklidir.</w:t>
      </w:r>
    </w:p>
    <w:p w:rsidR="003F69DA" w:rsidRDefault="00F6458C" w:rsidP="003F69DA">
      <w:pPr>
        <w:autoSpaceDE w:val="0"/>
        <w:autoSpaceDN w:val="0"/>
        <w:adjustRightInd w:val="0"/>
        <w:spacing w:before="120" w:after="120" w:line="240" w:lineRule="auto"/>
        <w:jc w:val="both"/>
        <w:rPr>
          <w:rFonts w:ascii="Times New Roman" w:eastAsia="Times New Roman" w:hAnsi="Times New Roman" w:cs="Times New Roman"/>
          <w:lang w:eastAsia="tr-TR"/>
        </w:rPr>
      </w:pPr>
      <w:r>
        <w:rPr>
          <w:rFonts w:ascii="Times New Roman" w:eastAsia="Times New Roman" w:hAnsi="Times New Roman" w:cs="Times New Roman"/>
          <w:lang w:eastAsia="tr-TR"/>
        </w:rPr>
        <w:lastRenderedPageBreak/>
        <w:t xml:space="preserve">Bu anlatılanlar ışığında çok düzeyli yönetişimin özgünlüğü ve yöntemsel açıdan hatalı olduğu gözlenmektedir.     </w:t>
      </w:r>
    </w:p>
    <w:p w:rsidR="0003674E" w:rsidRDefault="0003674E" w:rsidP="00625C18">
      <w:pPr>
        <w:pStyle w:val="DipnotMetni"/>
      </w:pPr>
    </w:p>
    <w:p w:rsidR="00625C18" w:rsidRPr="00F6458C" w:rsidRDefault="00625C18" w:rsidP="00625C18">
      <w:pPr>
        <w:pStyle w:val="DipnotMetni"/>
        <w:rPr>
          <w:b/>
        </w:rPr>
      </w:pPr>
      <w:r w:rsidRPr="00F6458C">
        <w:rPr>
          <w:b/>
        </w:rPr>
        <w:t>SONNOT</w:t>
      </w:r>
    </w:p>
    <w:p w:rsidR="00625C18" w:rsidRPr="00741D41" w:rsidRDefault="00625C18" w:rsidP="00625C18">
      <w:pPr>
        <w:pStyle w:val="DipnotMetni"/>
      </w:pPr>
      <w:r>
        <w:t xml:space="preserve">[1] </w:t>
      </w:r>
      <w:r w:rsidRPr="00625C18">
        <w:rPr>
          <w:rStyle w:val="DipnotBavurusu"/>
          <w:vertAlign w:val="baseline"/>
        </w:rPr>
        <w:t>Andrew Jordan,</w:t>
      </w:r>
      <w:r w:rsidR="00FD4F37">
        <w:rPr>
          <w:rStyle w:val="DipnotBavurusu"/>
          <w:vertAlign w:val="baseline"/>
        </w:rPr>
        <w:t xml:space="preserve"> (2001), </w:t>
      </w:r>
      <w:r w:rsidRPr="00741D41">
        <w:rPr>
          <w:rFonts w:eastAsia="Calibri"/>
        </w:rPr>
        <w:t xml:space="preserve">“The European Union and Evolving System of Multi-Level Governance or Government,” </w:t>
      </w:r>
      <w:r w:rsidRPr="00741D41">
        <w:rPr>
          <w:rFonts w:eastAsia="Calibri"/>
          <w:b/>
        </w:rPr>
        <w:t>Policy&amp; Politics</w:t>
      </w:r>
      <w:r>
        <w:rPr>
          <w:rFonts w:eastAsia="Calibri"/>
          <w:b/>
        </w:rPr>
        <w:t>,</w:t>
      </w:r>
      <w:r w:rsidR="00F6458C">
        <w:rPr>
          <w:rFonts w:eastAsia="Calibri"/>
        </w:rPr>
        <w:t xml:space="preserve"> Vol</w:t>
      </w:r>
      <w:r w:rsidR="00FD4F37">
        <w:rPr>
          <w:rFonts w:eastAsia="Calibri"/>
        </w:rPr>
        <w:t xml:space="preserve">.XXIX,  No:2, </w:t>
      </w:r>
      <w:r w:rsidR="00F6458C">
        <w:rPr>
          <w:rFonts w:eastAsia="Calibri"/>
        </w:rPr>
        <w:t>çalışmasında çok düzeyli yönetişimin teorik ve ampirik eleştirilerine işaret eder.</w:t>
      </w:r>
    </w:p>
    <w:p w:rsidR="00625C18" w:rsidRDefault="00625C18" w:rsidP="00625C18">
      <w:pPr>
        <w:pStyle w:val="DipnotMetni"/>
      </w:pPr>
    </w:p>
    <w:p w:rsidR="00625C18" w:rsidRDefault="00625C18" w:rsidP="00625C18">
      <w:pPr>
        <w:pStyle w:val="DipnotMetni"/>
        <w:rPr>
          <w:rFonts w:eastAsia="Calibri"/>
        </w:rPr>
      </w:pPr>
      <w:r>
        <w:t xml:space="preserve">[2] </w:t>
      </w:r>
      <w:r w:rsidR="00F6458C">
        <w:t>Charlie Jeffery, (2000)</w:t>
      </w:r>
      <w:r w:rsidR="00FD4F37">
        <w:t xml:space="preserve">, </w:t>
      </w:r>
      <w:r w:rsidRPr="00741D41">
        <w:t>“</w:t>
      </w:r>
      <w:r w:rsidRPr="00741D41">
        <w:rPr>
          <w:rFonts w:eastAsia="Calibri"/>
        </w:rPr>
        <w:t xml:space="preserve">Sub-national Mobilization and European İntegration: Does it Make Any Difference?,” </w:t>
      </w:r>
      <w:r w:rsidRPr="00741D41">
        <w:rPr>
          <w:rFonts w:eastAsia="Calibri"/>
          <w:b/>
        </w:rPr>
        <w:t>Journal of Common Market Studies</w:t>
      </w:r>
      <w:r w:rsidR="00F6458C">
        <w:rPr>
          <w:rFonts w:eastAsia="Calibri"/>
        </w:rPr>
        <w:t xml:space="preserve">, Vol. XXXVIII,  No: 1, çalışmasında ulus-altı aktörlerin bütünleşme sürecinde özerkliğine ilişkin tespitlerde bulunur. </w:t>
      </w:r>
    </w:p>
    <w:p w:rsidR="00F6458C" w:rsidRDefault="00F6458C" w:rsidP="00625C18">
      <w:pPr>
        <w:pStyle w:val="DipnotMetni"/>
      </w:pPr>
    </w:p>
    <w:p w:rsidR="009122D0" w:rsidRPr="00741D41" w:rsidRDefault="0003674E" w:rsidP="00FD4F37">
      <w:pPr>
        <w:pStyle w:val="DipnotMetni"/>
        <w:jc w:val="both"/>
      </w:pPr>
      <w:r>
        <w:t xml:space="preserve"> [3] Hooghe çeşitli politika alanlarında çok düzeyli yönetişimi test eder. “Building Multi-level Governance and European Integration” adlı çalışmasında belirlediği üzere çok düzeyli yönetişim açısından sınırlı bir genelleme yapılabilir.</w:t>
      </w:r>
    </w:p>
    <w:p w:rsidR="0003674E" w:rsidRDefault="0003674E" w:rsidP="00625C18">
      <w:pPr>
        <w:autoSpaceDE w:val="0"/>
        <w:autoSpaceDN w:val="0"/>
        <w:adjustRightInd w:val="0"/>
        <w:spacing w:before="120" w:after="120" w:line="240" w:lineRule="auto"/>
        <w:jc w:val="center"/>
        <w:rPr>
          <w:rFonts w:ascii="Times New Roman" w:eastAsia="Times New Roman" w:hAnsi="Times New Roman" w:cs="Times New Roman"/>
          <w:b/>
          <w:sz w:val="20"/>
          <w:szCs w:val="20"/>
          <w:lang w:eastAsia="tr-TR"/>
        </w:rPr>
      </w:pPr>
    </w:p>
    <w:p w:rsidR="00625C18" w:rsidRDefault="00625C18" w:rsidP="00625C18">
      <w:pPr>
        <w:autoSpaceDE w:val="0"/>
        <w:autoSpaceDN w:val="0"/>
        <w:adjustRightInd w:val="0"/>
        <w:spacing w:before="120" w:after="120" w:line="240" w:lineRule="auto"/>
        <w:jc w:val="center"/>
        <w:rPr>
          <w:rFonts w:ascii="Times New Roman" w:eastAsia="Times New Roman" w:hAnsi="Times New Roman" w:cs="Times New Roman"/>
          <w:b/>
          <w:sz w:val="20"/>
          <w:szCs w:val="20"/>
          <w:lang w:eastAsia="tr-TR"/>
        </w:rPr>
      </w:pPr>
      <w:r w:rsidRPr="00625C18">
        <w:rPr>
          <w:rFonts w:ascii="Times New Roman" w:eastAsia="Times New Roman" w:hAnsi="Times New Roman" w:cs="Times New Roman"/>
          <w:b/>
          <w:sz w:val="20"/>
          <w:szCs w:val="20"/>
          <w:lang w:eastAsia="tr-TR"/>
        </w:rPr>
        <w:t>KAYNAKÇA</w:t>
      </w:r>
    </w:p>
    <w:p w:rsidR="009122D0" w:rsidRDefault="009122D0" w:rsidP="00625C18">
      <w:pPr>
        <w:autoSpaceDE w:val="0"/>
        <w:autoSpaceDN w:val="0"/>
        <w:adjustRightInd w:val="0"/>
        <w:spacing w:before="120" w:after="120" w:line="240" w:lineRule="auto"/>
        <w:jc w:val="center"/>
        <w:rPr>
          <w:rFonts w:ascii="Times New Roman" w:eastAsia="Times New Roman" w:hAnsi="Times New Roman" w:cs="Times New Roman"/>
          <w:b/>
          <w:sz w:val="20"/>
          <w:szCs w:val="20"/>
          <w:lang w:eastAsia="tr-TR"/>
        </w:rPr>
      </w:pPr>
    </w:p>
    <w:p w:rsidR="009122D0" w:rsidRDefault="009122D0" w:rsidP="009122D0">
      <w:pPr>
        <w:pStyle w:val="DipnotMetni"/>
        <w:ind w:left="567" w:hanging="567"/>
        <w:jc w:val="both"/>
        <w:rPr>
          <w:rFonts w:eastAsia="Calibri"/>
        </w:rPr>
      </w:pPr>
      <w:r>
        <w:rPr>
          <w:rFonts w:eastAsia="Calibri"/>
        </w:rPr>
        <w:t>BACHE Ian, FLINDERS</w:t>
      </w:r>
      <w:r w:rsidRPr="00741D41">
        <w:rPr>
          <w:rFonts w:eastAsia="Calibri"/>
        </w:rPr>
        <w:t>,</w:t>
      </w:r>
      <w:r>
        <w:rPr>
          <w:rFonts w:eastAsia="Calibri"/>
        </w:rPr>
        <w:t xml:space="preserve"> Matthew, (2004),</w:t>
      </w:r>
      <w:r w:rsidRPr="00741D41">
        <w:rPr>
          <w:rFonts w:eastAsia="Calibri"/>
        </w:rPr>
        <w:t xml:space="preserve">  “Themes and Issues in Multi level Governance,” </w:t>
      </w:r>
      <w:r w:rsidRPr="00741D41">
        <w:rPr>
          <w:rFonts w:eastAsia="Calibri"/>
          <w:b/>
        </w:rPr>
        <w:t xml:space="preserve">Multi-level Governance, </w:t>
      </w:r>
      <w:r w:rsidRPr="00741D41">
        <w:rPr>
          <w:rFonts w:eastAsia="Calibri"/>
        </w:rPr>
        <w:t>Oxford University Press,</w:t>
      </w:r>
      <w:r>
        <w:rPr>
          <w:rFonts w:eastAsia="Calibri"/>
        </w:rPr>
        <w:t xml:space="preserve"> </w:t>
      </w:r>
      <w:r w:rsidRPr="00741D41">
        <w:rPr>
          <w:rFonts w:eastAsia="Calibri"/>
        </w:rPr>
        <w:t xml:space="preserve">Newyork, </w:t>
      </w:r>
    </w:p>
    <w:p w:rsidR="005B7E1E" w:rsidRDefault="005B7E1E" w:rsidP="005B7E1E">
      <w:pPr>
        <w:autoSpaceDE w:val="0"/>
        <w:autoSpaceDN w:val="0"/>
        <w:adjustRightInd w:val="0"/>
        <w:spacing w:after="0" w:line="240" w:lineRule="auto"/>
        <w:jc w:val="both"/>
        <w:rPr>
          <w:rFonts w:ascii="Times New Roman" w:eastAsia="Times New Roman" w:hAnsi="Times New Roman" w:cs="Times New Roman"/>
          <w:b/>
          <w:sz w:val="20"/>
          <w:szCs w:val="20"/>
          <w:lang w:eastAsia="tr-TR"/>
        </w:rPr>
      </w:pPr>
    </w:p>
    <w:p w:rsidR="00F60806" w:rsidRDefault="005B7E1E" w:rsidP="006A359A">
      <w:pPr>
        <w:pStyle w:val="DipnotMetni"/>
        <w:ind w:left="567" w:hanging="567"/>
        <w:jc w:val="both"/>
      </w:pPr>
      <w:r>
        <w:t xml:space="preserve">ERİKSEN O. Eriksin. (2009), </w:t>
      </w:r>
      <w:r w:rsidR="00F60806" w:rsidRPr="005B7E1E">
        <w:t>Unfinished Democratization of Europe</w:t>
      </w:r>
      <w:r w:rsidR="00F60806" w:rsidRPr="009C4863">
        <w:t xml:space="preserve">, </w:t>
      </w:r>
      <w:r>
        <w:t xml:space="preserve">Oxford University Press, </w:t>
      </w:r>
      <w:r w:rsidRPr="009C4863">
        <w:t>Newyork,</w:t>
      </w:r>
    </w:p>
    <w:p w:rsidR="009122D0" w:rsidRDefault="009122D0" w:rsidP="006A359A">
      <w:pPr>
        <w:pStyle w:val="DipnotMetni"/>
        <w:ind w:left="567" w:hanging="567"/>
        <w:jc w:val="both"/>
      </w:pPr>
    </w:p>
    <w:p w:rsidR="009122D0" w:rsidRPr="00741D41" w:rsidRDefault="009122D0" w:rsidP="009122D0">
      <w:pPr>
        <w:pStyle w:val="DipnotMetni"/>
        <w:ind w:left="567" w:hanging="567"/>
        <w:jc w:val="both"/>
      </w:pPr>
      <w:r>
        <w:rPr>
          <w:rFonts w:eastAsia="Calibri"/>
        </w:rPr>
        <w:t xml:space="preserve">GEORGE </w:t>
      </w:r>
      <w:r w:rsidRPr="00587AC9">
        <w:rPr>
          <w:rFonts w:eastAsia="Calibri"/>
        </w:rPr>
        <w:t>Stephan</w:t>
      </w:r>
      <w:r>
        <w:rPr>
          <w:rFonts w:eastAsia="Calibri"/>
        </w:rPr>
        <w:t xml:space="preserve">, (2004), </w:t>
      </w:r>
      <w:r w:rsidRPr="00741D41">
        <w:rPr>
          <w:rFonts w:eastAsia="Calibri"/>
        </w:rPr>
        <w:t>“Multi Level Governance and the European Union,”</w:t>
      </w:r>
      <w:r w:rsidR="00192C55">
        <w:rPr>
          <w:rFonts w:eastAsia="Calibri"/>
        </w:rPr>
        <w:t xml:space="preserve"> Edt(s): Ian Bache ant Matthew Flinders,</w:t>
      </w:r>
      <w:r w:rsidRPr="00741D41">
        <w:rPr>
          <w:rFonts w:eastAsia="Calibri"/>
        </w:rPr>
        <w:t xml:space="preserve"> </w:t>
      </w:r>
      <w:r w:rsidRPr="006A359A">
        <w:rPr>
          <w:rFonts w:eastAsia="Calibri"/>
        </w:rPr>
        <w:t>Multi-level Governace, Oxford University Press,</w:t>
      </w:r>
      <w:r>
        <w:rPr>
          <w:rFonts w:eastAsia="Calibri"/>
        </w:rPr>
        <w:t xml:space="preserve"> Newyork, </w:t>
      </w:r>
      <w:r w:rsidRPr="00741D41">
        <w:t xml:space="preserve"> </w:t>
      </w:r>
    </w:p>
    <w:p w:rsidR="009122D0" w:rsidRDefault="009122D0" w:rsidP="006A359A">
      <w:pPr>
        <w:pStyle w:val="DipnotMetni"/>
        <w:ind w:left="567" w:hanging="567"/>
        <w:jc w:val="both"/>
      </w:pPr>
    </w:p>
    <w:p w:rsidR="00192C55" w:rsidRDefault="00192C55" w:rsidP="00192C55">
      <w:pPr>
        <w:pStyle w:val="DipnotMetni"/>
        <w:jc w:val="both"/>
      </w:pPr>
      <w:r>
        <w:t>HOFFMAN Stanley, (1964), “</w:t>
      </w:r>
      <w:r w:rsidRPr="00251735">
        <w:rPr>
          <w:rFonts w:eastAsia="Calibri"/>
        </w:rPr>
        <w:t>The European Process at Atlan</w:t>
      </w:r>
      <w:r>
        <w:rPr>
          <w:rFonts w:eastAsia="Calibri"/>
        </w:rPr>
        <w:t>tic Cross P</w:t>
      </w:r>
      <w:r w:rsidRPr="00251735">
        <w:rPr>
          <w:rFonts w:eastAsia="Calibri"/>
        </w:rPr>
        <w:t>urposes</w:t>
      </w:r>
      <w:r>
        <w:rPr>
          <w:rFonts w:eastAsia="Calibri"/>
        </w:rPr>
        <w:t xml:space="preserve">,” </w:t>
      </w:r>
      <w:r w:rsidRPr="008F65A9">
        <w:rPr>
          <w:rFonts w:eastAsia="Calibri"/>
          <w:b/>
        </w:rPr>
        <w:t>Journal of Common Market Studies</w:t>
      </w:r>
      <w:r>
        <w:rPr>
          <w:rFonts w:eastAsia="Calibri"/>
          <w:b/>
        </w:rPr>
        <w:t>,</w:t>
      </w:r>
      <w:r>
        <w:rPr>
          <w:rFonts w:eastAsia="Calibri"/>
        </w:rPr>
        <w:t xml:space="preserve"> Vol.IV,  </w:t>
      </w:r>
      <w:r w:rsidRPr="00251735">
        <w:rPr>
          <w:rFonts w:eastAsia="Calibri"/>
        </w:rPr>
        <w:t>No: 3</w:t>
      </w:r>
      <w:r>
        <w:rPr>
          <w:rFonts w:eastAsia="Calibri"/>
        </w:rPr>
        <w:t>.</w:t>
      </w:r>
    </w:p>
    <w:p w:rsidR="00192C55" w:rsidRDefault="00192C55" w:rsidP="006A359A">
      <w:pPr>
        <w:pStyle w:val="DipnotMetni"/>
        <w:ind w:left="567" w:hanging="567"/>
        <w:jc w:val="both"/>
      </w:pPr>
    </w:p>
    <w:p w:rsidR="006A359A" w:rsidRPr="00741D41" w:rsidRDefault="006A359A" w:rsidP="006A359A">
      <w:pPr>
        <w:pStyle w:val="DipnotMetni"/>
        <w:ind w:left="567" w:hanging="567"/>
        <w:jc w:val="both"/>
      </w:pPr>
      <w:r>
        <w:t xml:space="preserve">HOOGHE </w:t>
      </w:r>
      <w:r w:rsidRPr="009C4863">
        <w:t>Liesbet</w:t>
      </w:r>
      <w:r w:rsidRPr="00741D41">
        <w:t>,</w:t>
      </w:r>
      <w:r>
        <w:t xml:space="preserve"> (1996), </w:t>
      </w:r>
      <w:r w:rsidRPr="00741D41">
        <w:rPr>
          <w:b/>
        </w:rPr>
        <w:t>Choesion Policy and European Integration</w:t>
      </w:r>
      <w:r w:rsidRPr="00741D41">
        <w:t>, Oxf</w:t>
      </w:r>
      <w:r>
        <w:t>ord University Press, Newyork.</w:t>
      </w:r>
    </w:p>
    <w:p w:rsidR="006A359A" w:rsidRDefault="006A359A" w:rsidP="006A359A">
      <w:pPr>
        <w:pStyle w:val="DipnotMetni"/>
        <w:ind w:left="567" w:hanging="567"/>
        <w:jc w:val="both"/>
      </w:pPr>
    </w:p>
    <w:p w:rsidR="006A359A" w:rsidRDefault="006A359A" w:rsidP="006A359A">
      <w:pPr>
        <w:autoSpaceDE w:val="0"/>
        <w:autoSpaceDN w:val="0"/>
        <w:adjustRightInd w:val="0"/>
        <w:spacing w:after="0" w:line="240" w:lineRule="auto"/>
        <w:ind w:left="567" w:hanging="567"/>
        <w:jc w:val="both"/>
        <w:rPr>
          <w:rFonts w:ascii="Times New Roman" w:eastAsia="Calibri" w:hAnsi="Times New Roman" w:cs="Times New Roman"/>
          <w:sz w:val="20"/>
          <w:szCs w:val="20"/>
        </w:rPr>
      </w:pPr>
      <w:r>
        <w:rPr>
          <w:rFonts w:ascii="Times New Roman" w:hAnsi="Times New Roman" w:cs="Times New Roman"/>
          <w:sz w:val="20"/>
          <w:szCs w:val="20"/>
        </w:rPr>
        <w:t>HOOGHE Liesbet and MARKS</w:t>
      </w:r>
      <w:r w:rsidRPr="00F60806">
        <w:rPr>
          <w:rFonts w:ascii="Times New Roman" w:hAnsi="Times New Roman" w:cs="Times New Roman"/>
          <w:sz w:val="20"/>
          <w:szCs w:val="20"/>
        </w:rPr>
        <w:t>,</w:t>
      </w:r>
      <w:r>
        <w:rPr>
          <w:rFonts w:ascii="Times New Roman" w:hAnsi="Times New Roman" w:cs="Times New Roman"/>
          <w:sz w:val="20"/>
          <w:szCs w:val="20"/>
        </w:rPr>
        <w:t xml:space="preserve"> Gary. (2003),</w:t>
      </w:r>
      <w:r w:rsidRPr="00F60806">
        <w:rPr>
          <w:rFonts w:ascii="Times New Roman" w:hAnsi="Times New Roman" w:cs="Times New Roman"/>
          <w:sz w:val="20"/>
          <w:szCs w:val="20"/>
        </w:rPr>
        <w:t xml:space="preserve"> </w:t>
      </w:r>
      <w:r w:rsidRPr="00F60806">
        <w:rPr>
          <w:rFonts w:ascii="Times New Roman" w:hAnsi="Times New Roman" w:cs="Times New Roman"/>
          <w:bCs/>
          <w:sz w:val="20"/>
          <w:szCs w:val="20"/>
        </w:rPr>
        <w:t>Unraveling the Central State,</w:t>
      </w:r>
      <w:r>
        <w:rPr>
          <w:rFonts w:ascii="Times New Roman" w:hAnsi="Times New Roman" w:cs="Times New Roman"/>
          <w:bCs/>
          <w:sz w:val="20"/>
          <w:szCs w:val="20"/>
        </w:rPr>
        <w:t xml:space="preserve"> </w:t>
      </w:r>
      <w:r w:rsidRPr="00F60806">
        <w:rPr>
          <w:rFonts w:ascii="Times New Roman" w:hAnsi="Times New Roman" w:cs="Times New Roman"/>
          <w:bCs/>
          <w:sz w:val="20"/>
          <w:szCs w:val="20"/>
        </w:rPr>
        <w:t xml:space="preserve">But </w:t>
      </w:r>
      <w:r>
        <w:rPr>
          <w:rFonts w:ascii="Times New Roman" w:hAnsi="Times New Roman" w:cs="Times New Roman"/>
          <w:bCs/>
          <w:sz w:val="20"/>
          <w:szCs w:val="20"/>
        </w:rPr>
        <w:t xml:space="preserve">        </w:t>
      </w:r>
      <w:r w:rsidRPr="00F60806">
        <w:rPr>
          <w:rFonts w:ascii="Times New Roman" w:hAnsi="Times New Roman" w:cs="Times New Roman"/>
          <w:bCs/>
          <w:sz w:val="20"/>
          <w:szCs w:val="20"/>
        </w:rPr>
        <w:t xml:space="preserve">How?: </w:t>
      </w:r>
      <w:r w:rsidRPr="00F60806">
        <w:rPr>
          <w:rFonts w:ascii="Times New Roman" w:hAnsi="Times New Roman" w:cs="Times New Roman"/>
          <w:sz w:val="20"/>
          <w:szCs w:val="20"/>
        </w:rPr>
        <w:t>Types of</w:t>
      </w:r>
      <w:r>
        <w:rPr>
          <w:rFonts w:ascii="Times New Roman" w:hAnsi="Times New Roman" w:cs="Times New Roman"/>
          <w:sz w:val="20"/>
          <w:szCs w:val="20"/>
        </w:rPr>
        <w:t xml:space="preserve"> </w:t>
      </w:r>
      <w:r w:rsidRPr="00F60806">
        <w:rPr>
          <w:rFonts w:ascii="Times New Roman" w:hAnsi="Times New Roman" w:cs="Times New Roman"/>
          <w:sz w:val="20"/>
          <w:szCs w:val="20"/>
        </w:rPr>
        <w:t>Multi-Level Governance</w:t>
      </w:r>
      <w:r>
        <w:rPr>
          <w:rFonts w:ascii="Times New Roman" w:eastAsia="Calibri" w:hAnsi="Times New Roman" w:cs="Times New Roman"/>
          <w:sz w:val="20"/>
          <w:szCs w:val="20"/>
        </w:rPr>
        <w:t>,</w:t>
      </w:r>
      <w:r w:rsidRPr="00F60806">
        <w:rPr>
          <w:rFonts w:ascii="Times New Roman" w:eastAsia="Calibri" w:hAnsi="Times New Roman" w:cs="Times New Roman"/>
          <w:sz w:val="20"/>
          <w:szCs w:val="20"/>
        </w:rPr>
        <w:t xml:space="preserve"> </w:t>
      </w:r>
      <w:r w:rsidRPr="00F60806">
        <w:rPr>
          <w:rFonts w:ascii="Times New Roman" w:eastAsia="Calibri" w:hAnsi="Times New Roman" w:cs="Times New Roman"/>
          <w:b/>
          <w:sz w:val="20"/>
          <w:szCs w:val="20"/>
        </w:rPr>
        <w:t>Political Science Series</w:t>
      </w:r>
      <w:r>
        <w:rPr>
          <w:rFonts w:ascii="Times New Roman" w:eastAsia="Calibri" w:hAnsi="Times New Roman" w:cs="Times New Roman"/>
          <w:sz w:val="20"/>
          <w:szCs w:val="20"/>
        </w:rPr>
        <w:t>, No: 87, Vienna.</w:t>
      </w:r>
    </w:p>
    <w:p w:rsidR="006A359A" w:rsidRDefault="006A359A" w:rsidP="006A359A">
      <w:pPr>
        <w:autoSpaceDE w:val="0"/>
        <w:autoSpaceDN w:val="0"/>
        <w:adjustRightInd w:val="0"/>
        <w:spacing w:after="0" w:line="240" w:lineRule="auto"/>
        <w:ind w:left="567" w:hanging="567"/>
        <w:jc w:val="both"/>
        <w:rPr>
          <w:rFonts w:ascii="Times New Roman" w:hAnsi="Times New Roman" w:cs="Times New Roman"/>
          <w:bCs/>
          <w:sz w:val="20"/>
          <w:szCs w:val="20"/>
        </w:rPr>
      </w:pPr>
    </w:p>
    <w:p w:rsidR="006A359A" w:rsidRDefault="006A359A" w:rsidP="006A359A">
      <w:pPr>
        <w:pStyle w:val="DipnotMetni"/>
        <w:ind w:left="567" w:hanging="567"/>
        <w:jc w:val="both"/>
      </w:pPr>
      <w:r>
        <w:t xml:space="preserve">JEFFERY </w:t>
      </w:r>
      <w:r w:rsidRPr="00741D41">
        <w:t>Charlie</w:t>
      </w:r>
      <w:r>
        <w:t>, (2000), “</w:t>
      </w:r>
      <w:r w:rsidRPr="00741D41">
        <w:rPr>
          <w:rFonts w:eastAsia="Calibri"/>
        </w:rPr>
        <w:t>Sub-national Mobilization and European İntegration: Does it Make Any Difference?</w:t>
      </w:r>
      <w:r>
        <w:rPr>
          <w:rFonts w:eastAsia="Calibri"/>
        </w:rPr>
        <w:t>”</w:t>
      </w:r>
      <w:r w:rsidRPr="00741D41">
        <w:rPr>
          <w:rFonts w:eastAsia="Calibri"/>
        </w:rPr>
        <w:t xml:space="preserve">, </w:t>
      </w:r>
      <w:r w:rsidRPr="00741D41">
        <w:rPr>
          <w:rFonts w:eastAsia="Calibri"/>
          <w:b/>
        </w:rPr>
        <w:t>Journal of Common Market Studies</w:t>
      </w:r>
      <w:r>
        <w:rPr>
          <w:rFonts w:eastAsia="Calibri"/>
        </w:rPr>
        <w:t>, Vol. 38,  No: 1, s</w:t>
      </w:r>
      <w:r w:rsidRPr="00741D41">
        <w:t>s. 1-23</w:t>
      </w:r>
    </w:p>
    <w:p w:rsidR="006A359A" w:rsidRDefault="006A359A" w:rsidP="006A359A">
      <w:pPr>
        <w:pStyle w:val="DipnotMetni"/>
        <w:ind w:left="567" w:hanging="567"/>
        <w:jc w:val="both"/>
      </w:pPr>
    </w:p>
    <w:p w:rsidR="006A359A" w:rsidRDefault="006A359A" w:rsidP="006A359A">
      <w:pPr>
        <w:pStyle w:val="DipnotMetni"/>
        <w:ind w:left="567" w:hanging="567"/>
        <w:jc w:val="both"/>
      </w:pPr>
      <w:r>
        <w:rPr>
          <w:rStyle w:val="DipnotBavurusu"/>
          <w:vertAlign w:val="baseline"/>
        </w:rPr>
        <w:lastRenderedPageBreak/>
        <w:t>JORDAN</w:t>
      </w:r>
      <w:r>
        <w:t xml:space="preserve"> </w:t>
      </w:r>
      <w:r>
        <w:rPr>
          <w:rStyle w:val="DipnotBavurusu"/>
          <w:vertAlign w:val="baseline"/>
        </w:rPr>
        <w:t>Andrew</w:t>
      </w:r>
      <w:r w:rsidRPr="00625C18">
        <w:rPr>
          <w:rStyle w:val="DipnotBavurusu"/>
          <w:vertAlign w:val="baseline"/>
        </w:rPr>
        <w:t>,</w:t>
      </w:r>
      <w:r>
        <w:rPr>
          <w:rStyle w:val="DipnotBavurusu"/>
          <w:vertAlign w:val="baseline"/>
        </w:rPr>
        <w:t xml:space="preserve"> (2001), </w:t>
      </w:r>
      <w:r w:rsidRPr="00741D41">
        <w:rPr>
          <w:rFonts w:eastAsia="Calibri"/>
        </w:rPr>
        <w:t xml:space="preserve">“The European Union and Evolving System of Multi-Level Governance or Government,” </w:t>
      </w:r>
      <w:r w:rsidRPr="00741D41">
        <w:rPr>
          <w:rFonts w:eastAsia="Calibri"/>
          <w:b/>
        </w:rPr>
        <w:t>Policy&amp; Politics</w:t>
      </w:r>
      <w:r>
        <w:rPr>
          <w:rFonts w:eastAsia="Calibri"/>
          <w:b/>
        </w:rPr>
        <w:t>,</w:t>
      </w:r>
      <w:r w:rsidR="00D8727D">
        <w:rPr>
          <w:rFonts w:eastAsia="Calibri"/>
        </w:rPr>
        <w:t xml:space="preserve"> </w:t>
      </w:r>
      <w:r>
        <w:rPr>
          <w:rFonts w:eastAsia="Calibri"/>
        </w:rPr>
        <w:t xml:space="preserve">Vol. 29,  No:2, </w:t>
      </w:r>
      <w:r>
        <w:t xml:space="preserve">ss. </w:t>
      </w:r>
      <w:r w:rsidRPr="00741D41">
        <w:t>193-208.</w:t>
      </w:r>
    </w:p>
    <w:p w:rsidR="00192C55" w:rsidRDefault="00192C55" w:rsidP="00192C55">
      <w:pPr>
        <w:pStyle w:val="DipnotMetni"/>
        <w:ind w:left="567" w:hanging="567"/>
        <w:jc w:val="both"/>
        <w:rPr>
          <w:rFonts w:eastAsia="Calibri"/>
        </w:rPr>
      </w:pPr>
    </w:p>
    <w:p w:rsidR="00192C55" w:rsidRDefault="00192C55" w:rsidP="00192C55">
      <w:pPr>
        <w:pStyle w:val="DipnotMetni"/>
        <w:ind w:left="567" w:hanging="567"/>
        <w:jc w:val="both"/>
      </w:pPr>
      <w:r>
        <w:rPr>
          <w:rStyle w:val="DipnotBavurusu"/>
          <w:vertAlign w:val="baseline"/>
        </w:rPr>
        <w:t>JORDAN</w:t>
      </w:r>
      <w:r>
        <w:t xml:space="preserve"> </w:t>
      </w:r>
      <w:r>
        <w:rPr>
          <w:rStyle w:val="DipnotBavurusu"/>
          <w:vertAlign w:val="baseline"/>
        </w:rPr>
        <w:t>Andrew</w:t>
      </w:r>
      <w:r w:rsidRPr="00625C18">
        <w:rPr>
          <w:rStyle w:val="DipnotBavurusu"/>
          <w:vertAlign w:val="baseline"/>
        </w:rPr>
        <w:t>,</w:t>
      </w:r>
      <w:r>
        <w:t xml:space="preserve"> FAIRBRASS Jenny</w:t>
      </w:r>
      <w:r>
        <w:rPr>
          <w:rStyle w:val="DipnotBavurusu"/>
          <w:vertAlign w:val="baseline"/>
        </w:rPr>
        <w:t xml:space="preserve"> (2004)</w:t>
      </w:r>
      <w:r>
        <w:rPr>
          <w:rFonts w:eastAsia="Calibri"/>
        </w:rPr>
        <w:t xml:space="preserve">, </w:t>
      </w:r>
      <w:r w:rsidRPr="00741D41">
        <w:rPr>
          <w:rFonts w:eastAsia="Calibri"/>
        </w:rPr>
        <w:t>“Multi Level G</w:t>
      </w:r>
      <w:r>
        <w:rPr>
          <w:rFonts w:eastAsia="Calibri"/>
        </w:rPr>
        <w:t>overnance and the Environmental Policy</w:t>
      </w:r>
      <w:r w:rsidRPr="00741D41">
        <w:rPr>
          <w:rFonts w:eastAsia="Calibri"/>
        </w:rPr>
        <w:t>,”</w:t>
      </w:r>
      <w:r>
        <w:rPr>
          <w:rFonts w:eastAsia="Calibri"/>
        </w:rPr>
        <w:t xml:space="preserve"> Edt(s): Ian Bache ant Matthew Flinders,</w:t>
      </w:r>
      <w:r w:rsidRPr="00741D41">
        <w:rPr>
          <w:rFonts w:eastAsia="Calibri"/>
        </w:rPr>
        <w:t xml:space="preserve"> </w:t>
      </w:r>
      <w:r w:rsidRPr="006A359A">
        <w:rPr>
          <w:rFonts w:eastAsia="Calibri"/>
        </w:rPr>
        <w:t>Multi-level Governace, Oxford University Press,</w:t>
      </w:r>
      <w:r>
        <w:rPr>
          <w:rFonts w:eastAsia="Calibri"/>
        </w:rPr>
        <w:t xml:space="preserve"> Newyork, </w:t>
      </w:r>
      <w:r w:rsidRPr="00741D41">
        <w:t xml:space="preserve"> </w:t>
      </w:r>
    </w:p>
    <w:p w:rsidR="00192C55" w:rsidRPr="00741D41" w:rsidRDefault="00192C55" w:rsidP="00192C55">
      <w:pPr>
        <w:pStyle w:val="DipnotMetni"/>
        <w:ind w:left="567" w:hanging="567"/>
        <w:jc w:val="both"/>
      </w:pPr>
    </w:p>
    <w:p w:rsidR="00192C55" w:rsidRPr="00192C55" w:rsidRDefault="00192C55" w:rsidP="00192C55">
      <w:pPr>
        <w:pStyle w:val="DipnotMetni"/>
        <w:ind w:left="567" w:hanging="567"/>
        <w:jc w:val="both"/>
      </w:pPr>
      <w:r w:rsidRPr="00192C55">
        <w:t>KEATING, M. (1998). The New Regionalism in Western Europe: Territorial Restructuring and Political Change</w:t>
      </w:r>
      <w:r>
        <w:t>,</w:t>
      </w:r>
      <w:r w:rsidRPr="00192C55">
        <w:t xml:space="preserve"> </w:t>
      </w:r>
      <w:r>
        <w:t>Cheltenham: Edward Elgar Publishing, Northampton.</w:t>
      </w:r>
    </w:p>
    <w:p w:rsidR="00192C55" w:rsidRDefault="00192C55" w:rsidP="00192C55">
      <w:pPr>
        <w:pStyle w:val="DipnotMetni"/>
        <w:ind w:left="567" w:hanging="567"/>
        <w:jc w:val="both"/>
      </w:pPr>
      <w:r>
        <w:t xml:space="preserve">Kolektif, (2004) </w:t>
      </w:r>
      <w:r w:rsidRPr="00192C55">
        <w:t>The Students Guide to European Integration: for Students by Students</w:t>
      </w:r>
      <w:r>
        <w:t>, London,  Balckwell Publishing,</w:t>
      </w:r>
    </w:p>
    <w:p w:rsidR="00192C55" w:rsidRDefault="00192C55" w:rsidP="009122D0">
      <w:pPr>
        <w:pStyle w:val="DipnotMetni"/>
        <w:ind w:left="567" w:hanging="567"/>
        <w:jc w:val="both"/>
      </w:pPr>
    </w:p>
    <w:p w:rsidR="009122D0" w:rsidRPr="00741D41" w:rsidRDefault="009122D0" w:rsidP="009122D0">
      <w:pPr>
        <w:pStyle w:val="DipnotMetni"/>
        <w:ind w:left="567" w:hanging="567"/>
        <w:jc w:val="both"/>
      </w:pPr>
      <w:r>
        <w:t>MARKS Gary</w:t>
      </w:r>
      <w:r w:rsidRPr="00741D41">
        <w:t>,</w:t>
      </w:r>
      <w:r>
        <w:t xml:space="preserve"> (1993)</w:t>
      </w:r>
      <w:r w:rsidRPr="00741D41">
        <w:t xml:space="preserve"> “</w:t>
      </w:r>
      <w:r w:rsidRPr="00741D41">
        <w:rPr>
          <w:rFonts w:eastAsia="Calibri"/>
        </w:rPr>
        <w:t xml:space="preserve">Structural Policy and Multi-Level Governance The State of the European Community: in the EC,” </w:t>
      </w:r>
      <w:r w:rsidRPr="00741D41">
        <w:rPr>
          <w:rFonts w:eastAsia="Calibri"/>
          <w:b/>
        </w:rPr>
        <w:t>The State of the European Community: The Maastricht Debate and Beyond</w:t>
      </w:r>
      <w:r w:rsidRPr="00741D41">
        <w:rPr>
          <w:rFonts w:eastAsia="Calibri"/>
        </w:rPr>
        <w:t xml:space="preserve">, </w:t>
      </w:r>
      <w:r>
        <w:rPr>
          <w:rFonts w:eastAsia="Calibri"/>
        </w:rPr>
        <w:t>(</w:t>
      </w:r>
      <w:r w:rsidRPr="00741D41">
        <w:rPr>
          <w:rFonts w:eastAsia="Calibri"/>
        </w:rPr>
        <w:t>Edt.</w:t>
      </w:r>
      <w:r>
        <w:rPr>
          <w:rFonts w:eastAsia="Calibri"/>
        </w:rPr>
        <w:t>)</w:t>
      </w:r>
      <w:r w:rsidRPr="00741D41">
        <w:rPr>
          <w:rFonts w:eastAsia="Calibri"/>
        </w:rPr>
        <w:t xml:space="preserve"> A.</w:t>
      </w:r>
      <w:r>
        <w:rPr>
          <w:rFonts w:eastAsia="Calibri"/>
        </w:rPr>
        <w:t xml:space="preserve"> Cafruny,  and G. B. Rosenthal and </w:t>
      </w:r>
      <w:r w:rsidRPr="00741D41">
        <w:rPr>
          <w:rFonts w:eastAsia="Calibri"/>
        </w:rPr>
        <w:t>L.</w:t>
      </w:r>
      <w:r>
        <w:rPr>
          <w:rFonts w:eastAsia="Calibri"/>
        </w:rPr>
        <w:t xml:space="preserve"> Rienner, Colorado, s</w:t>
      </w:r>
      <w:r w:rsidRPr="00741D41">
        <w:t>s. 392</w:t>
      </w:r>
    </w:p>
    <w:p w:rsidR="009122D0" w:rsidRDefault="009122D0" w:rsidP="009122D0">
      <w:pPr>
        <w:pStyle w:val="DipnotMetni"/>
        <w:ind w:left="567" w:hanging="567"/>
        <w:jc w:val="both"/>
      </w:pPr>
    </w:p>
    <w:p w:rsidR="009122D0" w:rsidRPr="00587AC9" w:rsidRDefault="009122D0" w:rsidP="009122D0">
      <w:pPr>
        <w:pStyle w:val="DipnotMetni"/>
        <w:ind w:left="567" w:hanging="567"/>
        <w:jc w:val="both"/>
        <w:rPr>
          <w:rFonts w:eastAsia="Calibri"/>
        </w:rPr>
      </w:pPr>
      <w:r>
        <w:t>MARKS Gary</w:t>
      </w:r>
      <w:r w:rsidRPr="009C4863">
        <w:t>,</w:t>
      </w:r>
      <w:r>
        <w:t xml:space="preserve"> HOOGHE </w:t>
      </w:r>
      <w:r w:rsidRPr="009C4863">
        <w:t>Liesbet</w:t>
      </w:r>
      <w:r>
        <w:t>,</w:t>
      </w:r>
      <w:r w:rsidR="00AB1D68">
        <w:t xml:space="preserve"> (2001)</w:t>
      </w:r>
      <w:r w:rsidRPr="00587AC9">
        <w:rPr>
          <w:rFonts w:eastAsia="Calibri"/>
        </w:rPr>
        <w:t xml:space="preserve"> “Types of Multi level Governance”, European Integration on-line Papers, No:5/11,(Çevrimiçi),</w:t>
      </w:r>
      <w:r>
        <w:rPr>
          <w:rFonts w:eastAsia="Calibri"/>
        </w:rPr>
        <w:t xml:space="preserve"> </w:t>
      </w:r>
      <w:hyperlink r:id="rId8" w:history="1">
        <w:r w:rsidRPr="00587AC9">
          <w:rPr>
            <w:rFonts w:eastAsia="Calibri"/>
          </w:rPr>
          <w:t>http://eiop.or.at/eiop/texte/2001-011a.htm</w:t>
        </w:r>
      </w:hyperlink>
      <w:r>
        <w:rPr>
          <w:rFonts w:eastAsia="Calibri"/>
        </w:rPr>
        <w:t>, 5. 07. 2010.</w:t>
      </w:r>
    </w:p>
    <w:p w:rsidR="005B7E1E" w:rsidRDefault="0022025A" w:rsidP="006A359A">
      <w:pPr>
        <w:pStyle w:val="DipnotMetni"/>
        <w:ind w:left="567" w:hanging="567"/>
        <w:jc w:val="both"/>
      </w:pPr>
      <w:r>
        <w:t>MARKS Gary</w:t>
      </w:r>
      <w:r w:rsidR="005B7E1E" w:rsidRPr="009C4863">
        <w:t>,</w:t>
      </w:r>
      <w:r>
        <w:t xml:space="preserve"> HOOGHE </w:t>
      </w:r>
      <w:r w:rsidRPr="009C4863">
        <w:t>Liesbet</w:t>
      </w:r>
      <w:r w:rsidR="005B7E1E" w:rsidRPr="009C4863">
        <w:t>,</w:t>
      </w:r>
      <w:r>
        <w:t xml:space="preserve"> BLANK</w:t>
      </w:r>
      <w:r w:rsidR="005B7E1E" w:rsidRPr="009C4863">
        <w:t>,</w:t>
      </w:r>
      <w:r>
        <w:t xml:space="preserve"> </w:t>
      </w:r>
      <w:r w:rsidRPr="009C4863">
        <w:t>Kermit</w:t>
      </w:r>
      <w:r>
        <w:t>. (1996),</w:t>
      </w:r>
      <w:r w:rsidR="00587AC9">
        <w:t xml:space="preserve"> ”European Integration F</w:t>
      </w:r>
      <w:r w:rsidR="005B7E1E" w:rsidRPr="009C4863">
        <w:t xml:space="preserve">rom 1980’s: State Cenric vs. Multi Level Governance,” </w:t>
      </w:r>
      <w:r w:rsidR="005B7E1E" w:rsidRPr="009C4863">
        <w:rPr>
          <w:b/>
        </w:rPr>
        <w:t>Journal of Common Market Studies</w:t>
      </w:r>
      <w:r w:rsidR="005B7E1E" w:rsidRPr="009C4863">
        <w:t>,</w:t>
      </w:r>
      <w:r w:rsidR="00587AC9">
        <w:t xml:space="preserve"> Vol. 34,  No: 3, ss.</w:t>
      </w:r>
      <w:r w:rsidR="005B7E1E" w:rsidRPr="009C4863">
        <w:t xml:space="preserve"> 346</w:t>
      </w:r>
    </w:p>
    <w:p w:rsidR="005B7E1E" w:rsidRPr="006A359A" w:rsidRDefault="006A359A" w:rsidP="006A359A">
      <w:pPr>
        <w:ind w:left="567" w:hanging="567"/>
        <w:jc w:val="both"/>
        <w:rPr>
          <w:rFonts w:ascii="Times New Roman" w:hAnsi="Times New Roman" w:cs="Times New Roman"/>
        </w:rPr>
      </w:pPr>
      <w:r w:rsidRPr="006A359A">
        <w:rPr>
          <w:rFonts w:ascii="Times New Roman" w:hAnsi="Times New Roman" w:cs="Times New Roman"/>
          <w:sz w:val="20"/>
          <w:szCs w:val="20"/>
        </w:rPr>
        <w:t xml:space="preserve">PIATTONI Simona, (2010), </w:t>
      </w:r>
      <w:r w:rsidR="005B7E1E" w:rsidRPr="006A359A">
        <w:rPr>
          <w:rFonts w:ascii="Times New Roman" w:hAnsi="Times New Roman" w:cs="Times New Roman"/>
          <w:sz w:val="20"/>
          <w:szCs w:val="20"/>
        </w:rPr>
        <w:t>The Theory of Multi level Governance: Conceptual, Emprical, and Normative Challanges</w:t>
      </w:r>
      <w:r w:rsidRPr="006A359A">
        <w:rPr>
          <w:rFonts w:ascii="Times New Roman" w:hAnsi="Times New Roman" w:cs="Times New Roman"/>
          <w:sz w:val="20"/>
          <w:szCs w:val="20"/>
        </w:rPr>
        <w:t xml:space="preserve">, </w:t>
      </w:r>
      <w:r w:rsidR="005B7E1E" w:rsidRPr="006A359A">
        <w:rPr>
          <w:rFonts w:ascii="Times New Roman" w:hAnsi="Times New Roman" w:cs="Times New Roman"/>
          <w:sz w:val="20"/>
          <w:szCs w:val="20"/>
        </w:rPr>
        <w:t>Oxford University Press</w:t>
      </w:r>
      <w:r>
        <w:rPr>
          <w:rFonts w:ascii="Times New Roman" w:hAnsi="Times New Roman" w:cs="Times New Roman"/>
          <w:sz w:val="20"/>
          <w:szCs w:val="20"/>
        </w:rPr>
        <w:t xml:space="preserve">, </w:t>
      </w:r>
      <w:r w:rsidRPr="006A359A">
        <w:rPr>
          <w:rFonts w:ascii="Times New Roman" w:hAnsi="Times New Roman" w:cs="Times New Roman"/>
          <w:sz w:val="20"/>
          <w:szCs w:val="20"/>
        </w:rPr>
        <w:t>Newyork</w:t>
      </w:r>
      <w:r>
        <w:rPr>
          <w:rFonts w:ascii="Times New Roman" w:hAnsi="Times New Roman" w:cs="Times New Roman"/>
          <w:sz w:val="20"/>
          <w:szCs w:val="20"/>
        </w:rPr>
        <w:t>.</w:t>
      </w:r>
    </w:p>
    <w:p w:rsidR="005B7E1E" w:rsidRPr="006A359A" w:rsidRDefault="005B7E1E" w:rsidP="006A359A">
      <w:pPr>
        <w:pStyle w:val="DipnotMetni"/>
        <w:jc w:val="both"/>
      </w:pPr>
    </w:p>
    <w:p w:rsidR="005B7E1E" w:rsidRPr="006A359A" w:rsidRDefault="005B7E1E" w:rsidP="00F60806">
      <w:pPr>
        <w:pStyle w:val="DipnotMetni"/>
      </w:pPr>
    </w:p>
    <w:p w:rsidR="00F60806" w:rsidRPr="00F60806" w:rsidRDefault="00F60806" w:rsidP="00F60806">
      <w:pPr>
        <w:autoSpaceDE w:val="0"/>
        <w:autoSpaceDN w:val="0"/>
        <w:adjustRightInd w:val="0"/>
        <w:spacing w:after="0" w:line="360" w:lineRule="auto"/>
        <w:jc w:val="both"/>
        <w:rPr>
          <w:rFonts w:ascii="Times New Roman" w:hAnsi="Times New Roman" w:cs="Times New Roman"/>
          <w:sz w:val="20"/>
          <w:szCs w:val="20"/>
        </w:rPr>
      </w:pPr>
    </w:p>
    <w:p w:rsidR="00F60806" w:rsidRPr="00F60806" w:rsidRDefault="00F60806" w:rsidP="00F60806">
      <w:pPr>
        <w:autoSpaceDE w:val="0"/>
        <w:autoSpaceDN w:val="0"/>
        <w:adjustRightInd w:val="0"/>
        <w:spacing w:before="120" w:after="120" w:line="240" w:lineRule="auto"/>
        <w:rPr>
          <w:rFonts w:ascii="Times New Roman" w:eastAsia="Times New Roman" w:hAnsi="Times New Roman" w:cs="Times New Roman"/>
          <w:b/>
          <w:sz w:val="20"/>
          <w:szCs w:val="20"/>
          <w:lang w:eastAsia="tr-TR"/>
        </w:rPr>
      </w:pPr>
    </w:p>
    <w:p w:rsidR="00625C18" w:rsidRDefault="00625C18" w:rsidP="00625C18">
      <w:pPr>
        <w:autoSpaceDE w:val="0"/>
        <w:autoSpaceDN w:val="0"/>
        <w:adjustRightInd w:val="0"/>
        <w:spacing w:before="120" w:after="120" w:line="240" w:lineRule="auto"/>
        <w:rPr>
          <w:rFonts w:ascii="Times New Roman" w:eastAsia="Times New Roman" w:hAnsi="Times New Roman" w:cs="Times New Roman"/>
          <w:b/>
          <w:sz w:val="20"/>
          <w:szCs w:val="20"/>
          <w:lang w:eastAsia="tr-TR"/>
        </w:rPr>
      </w:pPr>
    </w:p>
    <w:p w:rsidR="00625C18" w:rsidRPr="00625C18" w:rsidRDefault="00625C18" w:rsidP="00625C18">
      <w:pPr>
        <w:autoSpaceDE w:val="0"/>
        <w:autoSpaceDN w:val="0"/>
        <w:adjustRightInd w:val="0"/>
        <w:spacing w:before="120" w:after="120" w:line="240" w:lineRule="auto"/>
        <w:rPr>
          <w:rFonts w:ascii="Times New Roman" w:eastAsia="Times New Roman" w:hAnsi="Times New Roman" w:cs="Times New Roman"/>
          <w:b/>
          <w:sz w:val="20"/>
          <w:szCs w:val="20"/>
          <w:lang w:eastAsia="tr-TR"/>
        </w:rPr>
      </w:pPr>
    </w:p>
    <w:p w:rsidR="00625C18" w:rsidRDefault="00625C18" w:rsidP="003F69DA">
      <w:pPr>
        <w:autoSpaceDE w:val="0"/>
        <w:autoSpaceDN w:val="0"/>
        <w:adjustRightInd w:val="0"/>
        <w:spacing w:before="120" w:after="120" w:line="240" w:lineRule="auto"/>
        <w:jc w:val="both"/>
        <w:rPr>
          <w:rFonts w:ascii="Times New Roman" w:eastAsia="Times New Roman" w:hAnsi="Times New Roman" w:cs="Times New Roman"/>
          <w:lang w:eastAsia="tr-TR"/>
        </w:rPr>
      </w:pPr>
    </w:p>
    <w:p w:rsidR="00625C18" w:rsidRDefault="00625C18" w:rsidP="003F69DA">
      <w:pPr>
        <w:autoSpaceDE w:val="0"/>
        <w:autoSpaceDN w:val="0"/>
        <w:adjustRightInd w:val="0"/>
        <w:spacing w:before="120" w:after="120" w:line="240" w:lineRule="auto"/>
        <w:jc w:val="both"/>
        <w:rPr>
          <w:rFonts w:ascii="Times New Roman" w:eastAsia="Times New Roman" w:hAnsi="Times New Roman" w:cs="Times New Roman"/>
          <w:lang w:eastAsia="tr-TR"/>
        </w:rPr>
      </w:pPr>
    </w:p>
    <w:sectPr w:rsidR="00625C18" w:rsidSect="00986AD1">
      <w:footerReference w:type="default" r:id="rId9"/>
      <w:pgSz w:w="11906" w:h="16838"/>
      <w:pgMar w:top="3119" w:right="2438" w:bottom="3119" w:left="243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290D" w:rsidRDefault="00C0290D" w:rsidP="00A44432">
      <w:pPr>
        <w:spacing w:after="0" w:line="240" w:lineRule="auto"/>
      </w:pPr>
      <w:r>
        <w:separator/>
      </w:r>
    </w:p>
  </w:endnote>
  <w:endnote w:type="continuationSeparator" w:id="0">
    <w:p w:rsidR="00C0290D" w:rsidRDefault="00C0290D" w:rsidP="00A4443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53433"/>
      <w:docPartObj>
        <w:docPartGallery w:val="Page Numbers (Bottom of Page)"/>
        <w:docPartUnique/>
      </w:docPartObj>
    </w:sdtPr>
    <w:sdtContent>
      <w:p w:rsidR="00587AC9" w:rsidRDefault="004B76F1">
        <w:pPr>
          <w:pStyle w:val="Altbilgi"/>
          <w:jc w:val="right"/>
        </w:pPr>
        <w:fldSimple w:instr=" PAGE   \* MERGEFORMAT ">
          <w:r w:rsidR="00313E4C">
            <w:rPr>
              <w:noProof/>
            </w:rPr>
            <w:t>2</w:t>
          </w:r>
        </w:fldSimple>
      </w:p>
    </w:sdtContent>
  </w:sdt>
  <w:p w:rsidR="00587AC9" w:rsidRDefault="00587AC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290D" w:rsidRDefault="00C0290D" w:rsidP="00A44432">
      <w:pPr>
        <w:spacing w:after="0" w:line="240" w:lineRule="auto"/>
      </w:pPr>
      <w:r>
        <w:separator/>
      </w:r>
    </w:p>
  </w:footnote>
  <w:footnote w:type="continuationSeparator" w:id="0">
    <w:p w:rsidR="00C0290D" w:rsidRDefault="00C0290D" w:rsidP="00A44432">
      <w:pPr>
        <w:spacing w:after="0" w:line="240" w:lineRule="auto"/>
      </w:pPr>
      <w:r>
        <w:continuationSeparator/>
      </w:r>
    </w:p>
  </w:footnote>
  <w:footnote w:id="1">
    <w:p w:rsidR="00587AC9" w:rsidRPr="00D31394" w:rsidRDefault="00587AC9">
      <w:pPr>
        <w:pStyle w:val="DipnotMetni"/>
        <w:rPr>
          <w:sz w:val="18"/>
          <w:szCs w:val="18"/>
        </w:rPr>
      </w:pPr>
      <w:r w:rsidRPr="00D31394">
        <w:rPr>
          <w:rStyle w:val="DipnotBavurusu"/>
          <w:sz w:val="18"/>
          <w:szCs w:val="18"/>
        </w:rPr>
        <w:sym w:font="Symbol" w:char="F02A"/>
      </w:r>
      <w:r w:rsidRPr="00D31394">
        <w:rPr>
          <w:sz w:val="18"/>
          <w:szCs w:val="18"/>
        </w:rPr>
        <w:t xml:space="preserve"> Araş. Gör., İstanbul Üniversitesi, Siyasal Bilgiler Fakültesi, Kamu Yönetimi Bölümü, Yönetim Bilimleri Anabilim Dalı, dilekdede@istanbul.edu.tr</w:t>
      </w:r>
    </w:p>
  </w:footnote>
  <w:footnote w:id="2">
    <w:p w:rsidR="00587AC9" w:rsidRPr="00D31394" w:rsidRDefault="00587AC9" w:rsidP="00B8666F">
      <w:pPr>
        <w:pStyle w:val="DipnotMetni"/>
        <w:rPr>
          <w:sz w:val="18"/>
          <w:szCs w:val="18"/>
        </w:rPr>
      </w:pPr>
      <w:r w:rsidRPr="00D31394">
        <w:rPr>
          <w:rStyle w:val="DipnotBavurusu"/>
          <w:sz w:val="18"/>
          <w:szCs w:val="18"/>
        </w:rPr>
        <w:sym w:font="Symbol" w:char="F02A"/>
      </w:r>
      <w:r w:rsidRPr="00D31394">
        <w:rPr>
          <w:sz w:val="18"/>
          <w:szCs w:val="18"/>
        </w:rPr>
        <w:t xml:space="preserve"> </w:t>
      </w:r>
      <w:r>
        <w:rPr>
          <w:sz w:val="18"/>
          <w:szCs w:val="18"/>
        </w:rPr>
        <w:t>Research Assistant, Istanbul Universty</w:t>
      </w:r>
      <w:r w:rsidRPr="00D31394">
        <w:rPr>
          <w:sz w:val="18"/>
          <w:szCs w:val="18"/>
        </w:rPr>
        <w:t xml:space="preserve">, </w:t>
      </w:r>
      <w:r>
        <w:rPr>
          <w:sz w:val="18"/>
          <w:szCs w:val="18"/>
        </w:rPr>
        <w:t>The Faculty of Political Science</w:t>
      </w:r>
      <w:r w:rsidRPr="00D31394">
        <w:rPr>
          <w:sz w:val="18"/>
          <w:szCs w:val="18"/>
        </w:rPr>
        <w:t xml:space="preserve">, </w:t>
      </w:r>
      <w:r>
        <w:rPr>
          <w:sz w:val="18"/>
          <w:szCs w:val="18"/>
        </w:rPr>
        <w:t>Department of Public Administration</w:t>
      </w:r>
      <w:r w:rsidRPr="00D31394">
        <w:rPr>
          <w:sz w:val="18"/>
          <w:szCs w:val="18"/>
        </w:rPr>
        <w:t>,</w:t>
      </w:r>
      <w:r>
        <w:rPr>
          <w:sz w:val="18"/>
          <w:szCs w:val="18"/>
        </w:rPr>
        <w:t xml:space="preserve"> Administrative Sciences</w:t>
      </w:r>
      <w:r w:rsidRPr="00D31394">
        <w:rPr>
          <w:sz w:val="18"/>
          <w:szCs w:val="18"/>
        </w:rPr>
        <w:t>, dilekdede@istanbul.edu.tr</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A16D1B"/>
    <w:multiLevelType w:val="hybridMultilevel"/>
    <w:tmpl w:val="0FB63B1E"/>
    <w:lvl w:ilvl="0" w:tplc="099CF8BC">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33102263"/>
    <w:multiLevelType w:val="hybridMultilevel"/>
    <w:tmpl w:val="A02E7782"/>
    <w:lvl w:ilvl="0" w:tplc="224E673A">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47F2560A"/>
    <w:multiLevelType w:val="hybridMultilevel"/>
    <w:tmpl w:val="4DC27D20"/>
    <w:lvl w:ilvl="0" w:tplc="5F4C650E">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50F62DF3"/>
    <w:multiLevelType w:val="hybridMultilevel"/>
    <w:tmpl w:val="FEC0AB34"/>
    <w:lvl w:ilvl="0" w:tplc="745C8920">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
    <w:nsid w:val="68EC0642"/>
    <w:multiLevelType w:val="hybridMultilevel"/>
    <w:tmpl w:val="9FF88F3E"/>
    <w:lvl w:ilvl="0" w:tplc="041F0011">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4"/>
  </w:num>
  <w:num w:numId="2">
    <w:abstractNumId w:val="2"/>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1"/>
    <w:footnote w:id="0"/>
  </w:footnotePr>
  <w:endnotePr>
    <w:endnote w:id="-1"/>
    <w:endnote w:id="0"/>
  </w:endnotePr>
  <w:compat/>
  <w:rsids>
    <w:rsidRoot w:val="006F367E"/>
    <w:rsid w:val="0003674E"/>
    <w:rsid w:val="0006798D"/>
    <w:rsid w:val="000C3984"/>
    <w:rsid w:val="0011463F"/>
    <w:rsid w:val="00167EB9"/>
    <w:rsid w:val="001707C8"/>
    <w:rsid w:val="001860BB"/>
    <w:rsid w:val="00192C55"/>
    <w:rsid w:val="00196DF9"/>
    <w:rsid w:val="001B4B62"/>
    <w:rsid w:val="001E45E1"/>
    <w:rsid w:val="00204A68"/>
    <w:rsid w:val="0022025A"/>
    <w:rsid w:val="002232C5"/>
    <w:rsid w:val="002303E2"/>
    <w:rsid w:val="00265454"/>
    <w:rsid w:val="00277157"/>
    <w:rsid w:val="002863DE"/>
    <w:rsid w:val="0029140A"/>
    <w:rsid w:val="002B40E9"/>
    <w:rsid w:val="0030237E"/>
    <w:rsid w:val="00313E4C"/>
    <w:rsid w:val="00317FAC"/>
    <w:rsid w:val="00352898"/>
    <w:rsid w:val="003566C1"/>
    <w:rsid w:val="003A0F68"/>
    <w:rsid w:val="003F69DA"/>
    <w:rsid w:val="0042584D"/>
    <w:rsid w:val="004B76F1"/>
    <w:rsid w:val="004F4A08"/>
    <w:rsid w:val="005114B6"/>
    <w:rsid w:val="0053154E"/>
    <w:rsid w:val="0055366B"/>
    <w:rsid w:val="00587AC9"/>
    <w:rsid w:val="005B7E1E"/>
    <w:rsid w:val="005C208B"/>
    <w:rsid w:val="005F7E8C"/>
    <w:rsid w:val="006168E5"/>
    <w:rsid w:val="00625C18"/>
    <w:rsid w:val="00645A1D"/>
    <w:rsid w:val="0069007B"/>
    <w:rsid w:val="00693DA3"/>
    <w:rsid w:val="006A359A"/>
    <w:rsid w:val="006B34FC"/>
    <w:rsid w:val="006D301D"/>
    <w:rsid w:val="006E576E"/>
    <w:rsid w:val="006F367E"/>
    <w:rsid w:val="00722D80"/>
    <w:rsid w:val="00723F52"/>
    <w:rsid w:val="00767A7D"/>
    <w:rsid w:val="00792D60"/>
    <w:rsid w:val="007E68B7"/>
    <w:rsid w:val="008229A7"/>
    <w:rsid w:val="008C6436"/>
    <w:rsid w:val="008F3B6B"/>
    <w:rsid w:val="009122D0"/>
    <w:rsid w:val="00924B1D"/>
    <w:rsid w:val="00986AD1"/>
    <w:rsid w:val="009A0703"/>
    <w:rsid w:val="009A449C"/>
    <w:rsid w:val="009B504F"/>
    <w:rsid w:val="009F2AAD"/>
    <w:rsid w:val="009F2E2A"/>
    <w:rsid w:val="00A44432"/>
    <w:rsid w:val="00A63861"/>
    <w:rsid w:val="00A86B77"/>
    <w:rsid w:val="00AB1D68"/>
    <w:rsid w:val="00AC2175"/>
    <w:rsid w:val="00AD123D"/>
    <w:rsid w:val="00AD6232"/>
    <w:rsid w:val="00AE56FC"/>
    <w:rsid w:val="00AF10E6"/>
    <w:rsid w:val="00B14EF9"/>
    <w:rsid w:val="00B3300B"/>
    <w:rsid w:val="00B8666F"/>
    <w:rsid w:val="00B90ED8"/>
    <w:rsid w:val="00BB3B17"/>
    <w:rsid w:val="00BC2904"/>
    <w:rsid w:val="00BC61B5"/>
    <w:rsid w:val="00C0290D"/>
    <w:rsid w:val="00C31F49"/>
    <w:rsid w:val="00CD340E"/>
    <w:rsid w:val="00D31394"/>
    <w:rsid w:val="00D45999"/>
    <w:rsid w:val="00D82DC0"/>
    <w:rsid w:val="00D84375"/>
    <w:rsid w:val="00D8727D"/>
    <w:rsid w:val="00D95F56"/>
    <w:rsid w:val="00DC2746"/>
    <w:rsid w:val="00DC45CB"/>
    <w:rsid w:val="00DC4BA8"/>
    <w:rsid w:val="00DF3636"/>
    <w:rsid w:val="00E15CCA"/>
    <w:rsid w:val="00E649B8"/>
    <w:rsid w:val="00EB668A"/>
    <w:rsid w:val="00EC67C3"/>
    <w:rsid w:val="00EC6F0A"/>
    <w:rsid w:val="00F17679"/>
    <w:rsid w:val="00F23F81"/>
    <w:rsid w:val="00F53B5D"/>
    <w:rsid w:val="00F60806"/>
    <w:rsid w:val="00F6458C"/>
    <w:rsid w:val="00F94590"/>
    <w:rsid w:val="00FA5CAB"/>
    <w:rsid w:val="00FA7E3D"/>
    <w:rsid w:val="00FD4F37"/>
    <w:rsid w:val="00FE750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15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aliases w:val="Dipnot Metni Char1 Char,Dipnot Metni Char Char Char,Dipnot Metni Char2,Dipnot Metni Char1 Char1,Dipnot Metni Char Char Char1,Dipnot Metni Char1 Char Char Char,Dipnot Metni Char Char Char Char Char"/>
    <w:basedOn w:val="Normal"/>
    <w:link w:val="DipnotMetniChar1"/>
    <w:semiHidden/>
    <w:rsid w:val="00A44432"/>
    <w:pPr>
      <w:spacing w:after="0" w:line="240" w:lineRule="auto"/>
    </w:pPr>
    <w:rPr>
      <w:rFonts w:ascii="Times New Roman" w:eastAsia="Times New Roman" w:hAnsi="Times New Roman" w:cs="Times New Roman"/>
      <w:sz w:val="20"/>
      <w:szCs w:val="20"/>
      <w:lang w:eastAsia="tr-TR"/>
    </w:rPr>
  </w:style>
  <w:style w:type="character" w:customStyle="1" w:styleId="DipnotMetniChar">
    <w:name w:val="Dipnot Metni Char"/>
    <w:basedOn w:val="VarsaylanParagrafYazTipi"/>
    <w:link w:val="DipnotMetni"/>
    <w:rsid w:val="00A44432"/>
    <w:rPr>
      <w:sz w:val="20"/>
      <w:szCs w:val="20"/>
    </w:rPr>
  </w:style>
  <w:style w:type="character" w:styleId="DipnotBavurusu">
    <w:name w:val="footnote reference"/>
    <w:basedOn w:val="VarsaylanParagrafYazTipi"/>
    <w:semiHidden/>
    <w:rsid w:val="00A44432"/>
    <w:rPr>
      <w:vertAlign w:val="superscript"/>
    </w:rPr>
  </w:style>
  <w:style w:type="character" w:customStyle="1" w:styleId="DipnotMetniChar1">
    <w:name w:val="Dipnot Metni Char1"/>
    <w:aliases w:val="Dipnot Metni Char1 Char Char,Dipnot Metni Char Char Char Char,Dipnot Metni Char2 Char,Dipnot Metni Char1 Char1 Char,Dipnot Metni Char Char Char1 Char,Dipnot Metni Char1 Char Char Char Char,Dipnot Metni Char Char Char Char Char Char"/>
    <w:basedOn w:val="VarsaylanParagrafYazTipi"/>
    <w:link w:val="DipnotMetni"/>
    <w:rsid w:val="00A44432"/>
    <w:rPr>
      <w:rFonts w:ascii="Times New Roman" w:eastAsia="Times New Roman" w:hAnsi="Times New Roman" w:cs="Times New Roman"/>
      <w:sz w:val="20"/>
      <w:szCs w:val="20"/>
      <w:lang w:eastAsia="tr-TR"/>
    </w:rPr>
  </w:style>
  <w:style w:type="paragraph" w:styleId="ListeParagraf">
    <w:name w:val="List Paragraph"/>
    <w:basedOn w:val="Normal"/>
    <w:uiPriority w:val="34"/>
    <w:qFormat/>
    <w:rsid w:val="00AE56FC"/>
    <w:pPr>
      <w:ind w:left="720"/>
      <w:contextualSpacing/>
    </w:pPr>
  </w:style>
  <w:style w:type="character" w:styleId="KitapBal">
    <w:name w:val="Book Title"/>
    <w:basedOn w:val="VarsaylanParagrafYazTipi"/>
    <w:uiPriority w:val="33"/>
    <w:qFormat/>
    <w:rsid w:val="005114B6"/>
    <w:rPr>
      <w:b/>
      <w:bCs/>
      <w:smallCaps/>
      <w:spacing w:val="5"/>
    </w:rPr>
  </w:style>
  <w:style w:type="paragraph" w:styleId="NormalWeb">
    <w:name w:val="Normal (Web)"/>
    <w:basedOn w:val="Normal"/>
    <w:rsid w:val="003F69DA"/>
    <w:pPr>
      <w:spacing w:before="100" w:beforeAutospacing="1" w:after="100" w:afterAutospacing="1" w:line="240" w:lineRule="auto"/>
    </w:pPr>
    <w:rPr>
      <w:rFonts w:ascii="Arial Unicode MS" w:eastAsia="Arial Unicode MS" w:hAnsi="Arial Unicode MS" w:cs="Arial Unicode MS"/>
      <w:sz w:val="24"/>
      <w:szCs w:val="24"/>
    </w:rPr>
  </w:style>
  <w:style w:type="character" w:styleId="Kpr">
    <w:name w:val="Hyperlink"/>
    <w:basedOn w:val="VarsaylanParagrafYazTipi"/>
    <w:rsid w:val="00B14EF9"/>
    <w:rPr>
      <w:color w:val="0000FF"/>
      <w:u w:val="single"/>
    </w:rPr>
  </w:style>
  <w:style w:type="paragraph" w:styleId="stbilgi">
    <w:name w:val="header"/>
    <w:basedOn w:val="Normal"/>
    <w:link w:val="stbilgiChar"/>
    <w:uiPriority w:val="99"/>
    <w:semiHidden/>
    <w:unhideWhenUsed/>
    <w:rsid w:val="00625C1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25C18"/>
  </w:style>
  <w:style w:type="paragraph" w:styleId="Altbilgi">
    <w:name w:val="footer"/>
    <w:basedOn w:val="Normal"/>
    <w:link w:val="AltbilgiChar"/>
    <w:uiPriority w:val="99"/>
    <w:unhideWhenUsed/>
    <w:rsid w:val="00625C1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25C18"/>
  </w:style>
  <w:style w:type="paragraph" w:styleId="SonnotMetni">
    <w:name w:val="endnote text"/>
    <w:basedOn w:val="Normal"/>
    <w:link w:val="SonnotMetniChar"/>
    <w:uiPriority w:val="99"/>
    <w:semiHidden/>
    <w:unhideWhenUsed/>
    <w:rsid w:val="00625C18"/>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625C18"/>
    <w:rPr>
      <w:sz w:val="20"/>
      <w:szCs w:val="20"/>
    </w:rPr>
  </w:style>
  <w:style w:type="character" w:styleId="SonnotBavurusu">
    <w:name w:val="endnote reference"/>
    <w:basedOn w:val="VarsaylanParagrafYazTipi"/>
    <w:uiPriority w:val="99"/>
    <w:semiHidden/>
    <w:unhideWhenUsed/>
    <w:rsid w:val="00625C18"/>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iop.or.at/eiop/texte/2001-011a.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ACF29D-85AC-4433-9C77-B52026B5C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5049</Words>
  <Characters>28781</Characters>
  <Application>Microsoft Office Word</Application>
  <DocSecurity>0</DocSecurity>
  <Lines>239</Lines>
  <Paragraphs>67</Paragraphs>
  <ScaleCrop>false</ScaleCrop>
  <HeadingPairs>
    <vt:vector size="2" baseType="variant">
      <vt:variant>
        <vt:lpstr>Konu Başlığı</vt:lpstr>
      </vt:variant>
      <vt:variant>
        <vt:i4>1</vt:i4>
      </vt:variant>
    </vt:vector>
  </HeadingPairs>
  <TitlesOfParts>
    <vt:vector size="1" baseType="lpstr">
      <vt:lpstr/>
    </vt:vector>
  </TitlesOfParts>
  <Company>DEDOLİ</Company>
  <LinksUpToDate>false</LinksUpToDate>
  <CharactersWithSpaces>33763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Dilek</dc:creator>
  <cp:lastModifiedBy>Dilek</cp:lastModifiedBy>
  <cp:revision>2</cp:revision>
  <dcterms:created xsi:type="dcterms:W3CDTF">2012-08-13T07:32:00Z</dcterms:created>
  <dcterms:modified xsi:type="dcterms:W3CDTF">2012-08-13T07:32:00Z</dcterms:modified>
</cp:coreProperties>
</file>